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878" w:rsidRPr="00F72444" w:rsidRDefault="00BD79DA" w:rsidP="00EB0406">
      <w:pPr>
        <w:jc w:val="center"/>
        <w:rPr>
          <w:b/>
        </w:rPr>
      </w:pPr>
      <w:r>
        <w:rPr>
          <w:b/>
        </w:rPr>
        <w:t xml:space="preserve">Attachment </w:t>
      </w:r>
      <w:r w:rsidR="008D7040" w:rsidRPr="008D7040">
        <w:rPr>
          <w:b/>
        </w:rPr>
        <w:t>C</w:t>
      </w:r>
      <w:r>
        <w:rPr>
          <w:b/>
        </w:rPr>
        <w:t xml:space="preserve"> - </w:t>
      </w:r>
      <w:r w:rsidR="00F72444" w:rsidRPr="00F72444">
        <w:rPr>
          <w:b/>
        </w:rPr>
        <w:t>Urban Design Guidelines</w:t>
      </w:r>
      <w:r w:rsidR="0096760E">
        <w:rPr>
          <w:b/>
        </w:rPr>
        <w:t xml:space="preserve"> </w:t>
      </w:r>
      <w:r w:rsidR="00EB0406">
        <w:rPr>
          <w:b/>
        </w:rPr>
        <w:t>compliance table</w:t>
      </w:r>
    </w:p>
    <w:p w:rsidR="00BD79DA" w:rsidRDefault="00BD79DA" w:rsidP="00BD79DA">
      <w:pPr>
        <w:shd w:val="clear" w:color="auto" w:fill="FFFFFF"/>
        <w:ind w:right="-23"/>
      </w:pPr>
      <w:r>
        <w:rPr>
          <w:rFonts w:cs="Arial"/>
          <w:lang w:eastAsia="en-GB"/>
        </w:rPr>
        <w:t xml:space="preserve">The site is subject to the Urban Design Guidelines (UDG) for Catherine Hill Bay Middle Camp. </w:t>
      </w:r>
      <w:r>
        <w:t xml:space="preserve">An assessment of the application against the </w:t>
      </w:r>
      <w:r w:rsidR="00CA76AB">
        <w:t xml:space="preserve">relevant </w:t>
      </w:r>
      <w:r>
        <w:t xml:space="preserve">UDG </w:t>
      </w:r>
      <w:r w:rsidR="00CA76AB">
        <w:t xml:space="preserve">controls </w:t>
      </w:r>
      <w:r>
        <w:t>is detailed hereunder.</w:t>
      </w:r>
      <w:r w:rsidR="00CA76AB">
        <w:t xml:space="preserve"> Note, the UDG also contains controls relating to building form, which have not specifically been discussed below.</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5542"/>
        <w:gridCol w:w="4719"/>
      </w:tblGrid>
      <w:tr w:rsidR="00BD79DA" w:rsidRPr="00BD79DA" w:rsidTr="00280BFF">
        <w:tc>
          <w:tcPr>
            <w:tcW w:w="3426" w:type="dxa"/>
            <w:shd w:val="clear" w:color="auto" w:fill="D9D9D9" w:themeFill="background1" w:themeFillShade="D9"/>
          </w:tcPr>
          <w:p w:rsidR="00BD79DA" w:rsidRPr="00BD79DA" w:rsidRDefault="00BD79DA" w:rsidP="00BD79DA">
            <w:pPr>
              <w:ind w:right="-23"/>
              <w:jc w:val="center"/>
              <w:rPr>
                <w:b/>
              </w:rPr>
            </w:pPr>
            <w:r w:rsidRPr="00BD79DA">
              <w:rPr>
                <w:b/>
              </w:rPr>
              <w:t>Control</w:t>
            </w:r>
          </w:p>
        </w:tc>
        <w:tc>
          <w:tcPr>
            <w:tcW w:w="5542" w:type="dxa"/>
            <w:shd w:val="clear" w:color="auto" w:fill="D9D9D9" w:themeFill="background1" w:themeFillShade="D9"/>
          </w:tcPr>
          <w:p w:rsidR="00BD79DA" w:rsidRPr="00BD79DA" w:rsidRDefault="00BD79DA" w:rsidP="00BD79DA">
            <w:pPr>
              <w:ind w:right="-23"/>
              <w:jc w:val="center"/>
              <w:rPr>
                <w:b/>
              </w:rPr>
            </w:pPr>
            <w:r>
              <w:rPr>
                <w:b/>
              </w:rPr>
              <w:t>Details</w:t>
            </w:r>
          </w:p>
        </w:tc>
        <w:tc>
          <w:tcPr>
            <w:tcW w:w="4719" w:type="dxa"/>
            <w:shd w:val="clear" w:color="auto" w:fill="D9D9D9" w:themeFill="background1" w:themeFillShade="D9"/>
          </w:tcPr>
          <w:p w:rsidR="00BD79DA" w:rsidRPr="00BD79DA" w:rsidRDefault="00BD79DA" w:rsidP="00BD79DA">
            <w:pPr>
              <w:ind w:right="-23"/>
              <w:jc w:val="center"/>
              <w:rPr>
                <w:b/>
              </w:rPr>
            </w:pPr>
            <w:r>
              <w:rPr>
                <w:b/>
              </w:rPr>
              <w:t>Assessment</w:t>
            </w:r>
          </w:p>
        </w:tc>
      </w:tr>
      <w:tr w:rsidR="00BD79DA" w:rsidTr="00280BFF">
        <w:tc>
          <w:tcPr>
            <w:tcW w:w="3426" w:type="dxa"/>
          </w:tcPr>
          <w:p w:rsidR="00BD79DA" w:rsidRDefault="00BD79DA" w:rsidP="00BD79DA">
            <w:r>
              <w:t>B1.2 Street types</w:t>
            </w:r>
          </w:p>
        </w:tc>
        <w:tc>
          <w:tcPr>
            <w:tcW w:w="5542" w:type="dxa"/>
          </w:tcPr>
          <w:p w:rsidR="00BD79DA" w:rsidRPr="00EB0406" w:rsidRDefault="00EB0406" w:rsidP="00EB0406">
            <w:pPr>
              <w:rPr>
                <w:highlight w:val="yellow"/>
              </w:rPr>
            </w:pPr>
            <w:r w:rsidRPr="00E339A1">
              <w:t xml:space="preserve">This control describes </w:t>
            </w:r>
            <w:r w:rsidR="00E339A1" w:rsidRPr="00E339A1">
              <w:t xml:space="preserve">street typology, and </w:t>
            </w:r>
            <w:r w:rsidRPr="00E339A1">
              <w:t>cross sections</w:t>
            </w:r>
            <w:r w:rsidR="00E339A1" w:rsidRPr="00E339A1">
              <w:t xml:space="preserve"> details for street </w:t>
            </w:r>
            <w:r w:rsidRPr="00E339A1">
              <w:t>carriageway, parking and pedestrian facilities</w:t>
            </w:r>
            <w:r w:rsidR="00E339A1" w:rsidRPr="00E339A1">
              <w:t xml:space="preserve"> (refer to page 23-25 of</w:t>
            </w:r>
            <w:r w:rsidR="00E65CFD">
              <w:t xml:space="preserve"> UDG).</w:t>
            </w:r>
          </w:p>
        </w:tc>
        <w:tc>
          <w:tcPr>
            <w:tcW w:w="4719" w:type="dxa"/>
          </w:tcPr>
          <w:p w:rsidR="00E339A1" w:rsidRDefault="00E339A1" w:rsidP="00EB0406">
            <w:r w:rsidRPr="00E339A1">
              <w:t>The proposed street typology is generally consistent with the UDG.</w:t>
            </w:r>
          </w:p>
          <w:p w:rsidR="00E65CFD" w:rsidRDefault="00E339A1" w:rsidP="003C04E2">
            <w:r>
              <w:t xml:space="preserve">The </w:t>
            </w:r>
            <w:r w:rsidR="003C04E2">
              <w:t xml:space="preserve">UDG proposes several different road cross sections ranging from narrow one way streets to very wide carriageways.  </w:t>
            </w:r>
          </w:p>
          <w:p w:rsidR="002506B4" w:rsidRDefault="00E65CFD" w:rsidP="003C04E2">
            <w:r>
              <w:t>The application propose</w:t>
            </w:r>
            <w:r w:rsidR="008D7040">
              <w:t xml:space="preserve">s </w:t>
            </w:r>
            <w:r>
              <w:t xml:space="preserve">road reserves and carriageways that do not strictly achieve the widths specified in the UDG, however provide for street trees, pedestrian facilities, parking and utilities as outlined in the UDG. The proposed outcomes are also consistent with </w:t>
            </w:r>
            <w:r w:rsidR="003C04E2">
              <w:t xml:space="preserve">Council’s development guidelines.  </w:t>
            </w:r>
          </w:p>
          <w:p w:rsidR="002506B4" w:rsidRPr="002506B4" w:rsidRDefault="002506B4" w:rsidP="002506B4"/>
          <w:p w:rsidR="002506B4" w:rsidRPr="002506B4" w:rsidRDefault="002506B4" w:rsidP="002506B4"/>
          <w:p w:rsidR="002506B4" w:rsidRPr="002506B4" w:rsidRDefault="002506B4" w:rsidP="002506B4"/>
          <w:p w:rsidR="002506B4" w:rsidRPr="002506B4" w:rsidRDefault="002506B4" w:rsidP="002506B4"/>
          <w:p w:rsidR="002506B4" w:rsidRPr="002506B4" w:rsidRDefault="002506B4" w:rsidP="002506B4"/>
          <w:p w:rsidR="002506B4" w:rsidRPr="002506B4" w:rsidRDefault="002506B4" w:rsidP="002506B4"/>
          <w:p w:rsidR="002506B4" w:rsidRPr="002506B4" w:rsidRDefault="002506B4" w:rsidP="002506B4"/>
          <w:p w:rsidR="00BD79DA" w:rsidRPr="002506B4" w:rsidRDefault="002506B4" w:rsidP="002506B4">
            <w:pPr>
              <w:tabs>
                <w:tab w:val="left" w:pos="2770"/>
              </w:tabs>
            </w:pPr>
            <w:r>
              <w:tab/>
            </w:r>
          </w:p>
        </w:tc>
      </w:tr>
      <w:tr w:rsidR="00280BFF" w:rsidTr="00280BFF">
        <w:trPr>
          <w:trHeight w:val="3655"/>
        </w:trPr>
        <w:tc>
          <w:tcPr>
            <w:tcW w:w="3426" w:type="dxa"/>
            <w:vMerge w:val="restart"/>
          </w:tcPr>
          <w:p w:rsidR="00280BFF" w:rsidRDefault="00280BFF" w:rsidP="00280BFF">
            <w:r>
              <w:lastRenderedPageBreak/>
              <w:t>B1.3 Parks and open space</w:t>
            </w:r>
            <w:r>
              <w:tab/>
            </w:r>
          </w:p>
          <w:p w:rsidR="00280BFF" w:rsidRPr="00EB0406" w:rsidRDefault="00280BFF" w:rsidP="00280BFF"/>
        </w:tc>
        <w:tc>
          <w:tcPr>
            <w:tcW w:w="5542" w:type="dxa"/>
          </w:tcPr>
          <w:p w:rsidR="001B4DAE" w:rsidRDefault="001B4DAE" w:rsidP="00280BFF">
            <w:r w:rsidRPr="00EE5B32">
              <w:t>This control gives guidance to the landscape outcomes for each of the respective parks and open space areas with the development.</w:t>
            </w:r>
          </w:p>
          <w:p w:rsidR="00280BFF" w:rsidRPr="00EE5B32" w:rsidRDefault="00280BFF" w:rsidP="00280BFF">
            <w:r w:rsidRPr="00EE5B32">
              <w:t>The controls require four parks to be established within the site:</w:t>
            </w:r>
          </w:p>
          <w:p w:rsidR="00280BFF" w:rsidRPr="00EE5B32" w:rsidRDefault="00280BFF" w:rsidP="00280BFF">
            <w:pPr>
              <w:pStyle w:val="ListParagraph"/>
              <w:numPr>
                <w:ilvl w:val="0"/>
                <w:numId w:val="37"/>
              </w:numPr>
              <w:contextualSpacing w:val="0"/>
            </w:pPr>
            <w:r w:rsidRPr="00EE5B32">
              <w:t>Workshop Park</w:t>
            </w:r>
          </w:p>
          <w:p w:rsidR="00280BFF" w:rsidRPr="00EE5B32" w:rsidRDefault="00280BFF" w:rsidP="00280BFF">
            <w:pPr>
              <w:pStyle w:val="ListParagraph"/>
              <w:numPr>
                <w:ilvl w:val="0"/>
                <w:numId w:val="37"/>
              </w:numPr>
              <w:contextualSpacing w:val="0"/>
            </w:pPr>
            <w:r w:rsidRPr="00EE5B32">
              <w:t>Lemon Tree Park</w:t>
            </w:r>
          </w:p>
          <w:p w:rsidR="00280BFF" w:rsidRPr="00EE5B32" w:rsidRDefault="00280BFF" w:rsidP="00280BFF">
            <w:pPr>
              <w:pStyle w:val="ListParagraph"/>
              <w:numPr>
                <w:ilvl w:val="0"/>
                <w:numId w:val="37"/>
              </w:numPr>
              <w:contextualSpacing w:val="0"/>
            </w:pPr>
            <w:r w:rsidRPr="00EE5B32">
              <w:t>Gateway Park</w:t>
            </w:r>
          </w:p>
          <w:p w:rsidR="00280BFF" w:rsidRPr="00EE5B32" w:rsidRDefault="00280BFF" w:rsidP="00280BFF">
            <w:pPr>
              <w:pStyle w:val="ListParagraph"/>
              <w:numPr>
                <w:ilvl w:val="0"/>
                <w:numId w:val="37"/>
              </w:numPr>
              <w:contextualSpacing w:val="0"/>
            </w:pPr>
            <w:r w:rsidRPr="00EE5B32">
              <w:t>Linear Park</w:t>
            </w:r>
          </w:p>
          <w:p w:rsidR="00280BFF" w:rsidRPr="00280BFF" w:rsidRDefault="00280BFF" w:rsidP="00280BFF">
            <w:r>
              <w:t>R</w:t>
            </w:r>
            <w:r w:rsidRPr="00E339A1">
              <w:t>efer to page 2</w:t>
            </w:r>
            <w:r>
              <w:t>6</w:t>
            </w:r>
            <w:r w:rsidRPr="00E339A1">
              <w:t>-2</w:t>
            </w:r>
            <w:r>
              <w:t>8</w:t>
            </w:r>
            <w:r w:rsidRPr="00E339A1">
              <w:t xml:space="preserve"> of</w:t>
            </w:r>
            <w:r w:rsidR="00E65CFD">
              <w:t xml:space="preserve"> UDG.</w:t>
            </w:r>
          </w:p>
        </w:tc>
        <w:tc>
          <w:tcPr>
            <w:tcW w:w="4719" w:type="dxa"/>
          </w:tcPr>
          <w:p w:rsidR="00E65CFD" w:rsidRDefault="00280BFF" w:rsidP="00280BFF">
            <w:r w:rsidRPr="00EE5B32">
              <w:t xml:space="preserve">The application proposes to create the lots for the </w:t>
            </w:r>
            <w:r w:rsidR="00E65CFD">
              <w:t xml:space="preserve">four </w:t>
            </w:r>
            <w:r w:rsidRPr="00EE5B32">
              <w:t>parks</w:t>
            </w:r>
            <w:r w:rsidR="00E65CFD">
              <w:t>.</w:t>
            </w:r>
          </w:p>
          <w:p w:rsidR="00E65CFD" w:rsidRDefault="00E65CFD" w:rsidP="00280BFF">
            <w:r>
              <w:t>S</w:t>
            </w:r>
            <w:r w:rsidR="00E221D4">
              <w:t xml:space="preserve">atisfactory </w:t>
            </w:r>
            <w:r w:rsidR="003C04E2">
              <w:t xml:space="preserve">landscaping details </w:t>
            </w:r>
            <w:r>
              <w:t xml:space="preserve">have been </w:t>
            </w:r>
            <w:r w:rsidR="003C04E2">
              <w:t>provided for Linear</w:t>
            </w:r>
            <w:r>
              <w:t xml:space="preserve"> Park</w:t>
            </w:r>
            <w:r w:rsidR="003C04E2">
              <w:t xml:space="preserve"> and Gateway Park</w:t>
            </w:r>
            <w:r w:rsidR="00E221D4">
              <w:t xml:space="preserve">. </w:t>
            </w:r>
          </w:p>
          <w:p w:rsidR="008D7040" w:rsidRDefault="00E65CFD" w:rsidP="00280BFF">
            <w:r w:rsidRPr="008D7040">
              <w:t>L</w:t>
            </w:r>
            <w:r w:rsidR="00E221D4" w:rsidRPr="008D7040">
              <w:t xml:space="preserve">andscaping </w:t>
            </w:r>
            <w:r w:rsidRPr="008D7040">
              <w:t>details</w:t>
            </w:r>
            <w:r w:rsidR="00E221D4" w:rsidRPr="008D7040">
              <w:t xml:space="preserve"> have </w:t>
            </w:r>
            <w:r w:rsidRPr="008D7040">
              <w:t xml:space="preserve">not </w:t>
            </w:r>
            <w:r w:rsidR="00E221D4" w:rsidRPr="008D7040">
              <w:t xml:space="preserve">been </w:t>
            </w:r>
            <w:r w:rsidR="003C04E2" w:rsidRPr="008D7040">
              <w:t xml:space="preserve">provided </w:t>
            </w:r>
            <w:r w:rsidR="00E221D4" w:rsidRPr="008D7040">
              <w:t>for Workshop or Lemon Tree Park.</w:t>
            </w:r>
            <w:r w:rsidR="008D7040" w:rsidRPr="008D7040">
              <w:t xml:space="preserve"> </w:t>
            </w:r>
          </w:p>
          <w:p w:rsidR="00280BFF" w:rsidRPr="00E65CFD" w:rsidRDefault="00E65CFD" w:rsidP="008D7040">
            <w:r w:rsidRPr="008D7040">
              <w:t>Council recommend</w:t>
            </w:r>
            <w:r w:rsidR="008D7040" w:rsidRPr="008D7040">
              <w:t xml:space="preserve"> further details are provided for these parks prior to determination. Alternatively, conditions can be imposed requiring </w:t>
            </w:r>
            <w:r w:rsidR="001C7630" w:rsidRPr="008D7040">
              <w:t xml:space="preserve">detailed landscaping plans be provided for these </w:t>
            </w:r>
            <w:r w:rsidR="008D7040" w:rsidRPr="008D7040">
              <w:t>p</w:t>
            </w:r>
            <w:r w:rsidR="001C7630" w:rsidRPr="008D7040">
              <w:t>arks with the respective Subdivision Works Certificate</w:t>
            </w:r>
            <w:r w:rsidR="008D7040" w:rsidRPr="008D7040">
              <w:t xml:space="preserve">. </w:t>
            </w:r>
          </w:p>
        </w:tc>
      </w:tr>
      <w:tr w:rsidR="00280BFF" w:rsidTr="00280BFF">
        <w:trPr>
          <w:trHeight w:val="2414"/>
        </w:trPr>
        <w:tc>
          <w:tcPr>
            <w:tcW w:w="3426" w:type="dxa"/>
            <w:vMerge/>
          </w:tcPr>
          <w:p w:rsidR="00280BFF" w:rsidRDefault="00280BFF" w:rsidP="00280BFF"/>
        </w:tc>
        <w:tc>
          <w:tcPr>
            <w:tcW w:w="5542" w:type="dxa"/>
          </w:tcPr>
          <w:p w:rsidR="00280BFF" w:rsidRPr="00280BFF" w:rsidRDefault="00280BFF" w:rsidP="00280BFF">
            <w:r w:rsidRPr="00280BFF">
              <w:t xml:space="preserve">A landscape buffer zone of approximately 20 metres is required through retaining existing vegetation, and providing new planting along Flowers Drive for Hamlet A. </w:t>
            </w:r>
          </w:p>
          <w:p w:rsidR="00280BFF" w:rsidRPr="00280BFF" w:rsidRDefault="00280BFF" w:rsidP="00280BFF">
            <w:r w:rsidRPr="00280BFF">
              <w:t>New plantings are to include local native species as specified in the UDG.</w:t>
            </w:r>
          </w:p>
          <w:p w:rsidR="00280BFF" w:rsidRPr="00280BFF" w:rsidRDefault="00280BFF" w:rsidP="00280BFF">
            <w:r w:rsidRPr="00280BFF">
              <w:t>Bushfire requirements must also be accounted for.</w:t>
            </w:r>
          </w:p>
          <w:p w:rsidR="00280BFF" w:rsidRPr="00EE5B32" w:rsidRDefault="00280BFF" w:rsidP="00280BFF">
            <w:r>
              <w:t>R</w:t>
            </w:r>
            <w:r w:rsidRPr="00E339A1">
              <w:t xml:space="preserve">efer to page </w:t>
            </w:r>
            <w:r>
              <w:t>29</w:t>
            </w:r>
            <w:r w:rsidRPr="00E339A1">
              <w:t xml:space="preserve"> of</w:t>
            </w:r>
            <w:r w:rsidR="00D2587F">
              <w:t xml:space="preserve"> UDG.</w:t>
            </w:r>
          </w:p>
        </w:tc>
        <w:tc>
          <w:tcPr>
            <w:tcW w:w="4719" w:type="dxa"/>
          </w:tcPr>
          <w:p w:rsidR="00280BFF" w:rsidRDefault="00280BFF" w:rsidP="00280BFF">
            <w:r w:rsidRPr="00280BFF">
              <w:t xml:space="preserve">The landscape buffer to Flowers Drive </w:t>
            </w:r>
            <w:r w:rsidR="001C7630">
              <w:t xml:space="preserve">proposed in the UDG </w:t>
            </w:r>
            <w:r w:rsidRPr="00280BFF">
              <w:t xml:space="preserve">includes land within the rear yards of proposed lots. </w:t>
            </w:r>
          </w:p>
          <w:p w:rsidR="00D2587F" w:rsidRDefault="00D2587F" w:rsidP="00D61CD1">
            <w:r>
              <w:t xml:space="preserve">Based upon Council’s previous experience, this outcome </w:t>
            </w:r>
            <w:r w:rsidR="001C7630">
              <w:t xml:space="preserve">has </w:t>
            </w:r>
            <w:r>
              <w:t>not achieved quality outcomes</w:t>
            </w:r>
            <w:r w:rsidR="00C85BDE">
              <w:t xml:space="preserve"> in the City.</w:t>
            </w:r>
          </w:p>
          <w:p w:rsidR="00C85BDE" w:rsidRDefault="00D2587F" w:rsidP="00D61CD1">
            <w:r>
              <w:t xml:space="preserve">To ensure the intent of the UDG is achieved, Council have </w:t>
            </w:r>
            <w:r w:rsidR="00280BFF" w:rsidRPr="00280BFF">
              <w:t>adopt</w:t>
            </w:r>
            <w:r>
              <w:t>ed</w:t>
            </w:r>
            <w:r w:rsidR="00280BFF" w:rsidRPr="00280BFF">
              <w:t xml:space="preserve"> an alternate approach by providing a wider road reserve </w:t>
            </w:r>
            <w:r w:rsidR="00D61CD1">
              <w:t xml:space="preserve">in parts of </w:t>
            </w:r>
            <w:r w:rsidR="00280BFF" w:rsidRPr="00280BFF">
              <w:t xml:space="preserve"> Flowers Drive and providing planting</w:t>
            </w:r>
            <w:r w:rsidR="00D61CD1">
              <w:t xml:space="preserve"> an</w:t>
            </w:r>
            <w:r>
              <w:t>d</w:t>
            </w:r>
            <w:r w:rsidR="00D61CD1">
              <w:t xml:space="preserve"> supplementary planting </w:t>
            </w:r>
            <w:r w:rsidR="00280BFF" w:rsidRPr="00280BFF">
              <w:t xml:space="preserve">within the road reserve. </w:t>
            </w:r>
          </w:p>
          <w:p w:rsidR="00280BFF" w:rsidRPr="00EE5B32" w:rsidRDefault="00280BFF" w:rsidP="00D61CD1">
            <w:pPr>
              <w:rPr>
                <w:highlight w:val="yellow"/>
              </w:rPr>
            </w:pPr>
            <w:r w:rsidRPr="00280BFF">
              <w:t>It is consider</w:t>
            </w:r>
            <w:r>
              <w:t>ed</w:t>
            </w:r>
            <w:r w:rsidRPr="00280BFF">
              <w:t xml:space="preserve"> this achieves the intent of the control, and provides a better long term solution. </w:t>
            </w:r>
          </w:p>
        </w:tc>
      </w:tr>
      <w:tr w:rsidR="00280BFF" w:rsidTr="00280BFF">
        <w:tc>
          <w:tcPr>
            <w:tcW w:w="3426" w:type="dxa"/>
            <w:vMerge/>
          </w:tcPr>
          <w:p w:rsidR="00280BFF" w:rsidRDefault="00280BFF" w:rsidP="00280BFF"/>
        </w:tc>
        <w:tc>
          <w:tcPr>
            <w:tcW w:w="5542" w:type="dxa"/>
          </w:tcPr>
          <w:p w:rsidR="001B4DAE" w:rsidRDefault="001B4DAE" w:rsidP="001B4DAE">
            <w:r w:rsidRPr="001B4DAE">
              <w:t>This control makes suggestions on plant and tree species and other landscape items.</w:t>
            </w:r>
          </w:p>
          <w:p w:rsidR="001B4DAE" w:rsidRPr="001B4DAE" w:rsidRDefault="001B4DAE" w:rsidP="001B4DAE">
            <w:r>
              <w:t>R</w:t>
            </w:r>
            <w:r w:rsidRPr="00E339A1">
              <w:t xml:space="preserve">efer to page </w:t>
            </w:r>
            <w:r>
              <w:t>29</w:t>
            </w:r>
            <w:r w:rsidRPr="00E339A1">
              <w:t xml:space="preserve"> of</w:t>
            </w:r>
            <w:r w:rsidR="00FF71B6">
              <w:t xml:space="preserve"> UDG.</w:t>
            </w:r>
          </w:p>
          <w:p w:rsidR="001B4DAE" w:rsidRPr="00EB0406" w:rsidRDefault="001B4DAE" w:rsidP="00280BFF">
            <w:pPr>
              <w:rPr>
                <w:highlight w:val="yellow"/>
              </w:rPr>
            </w:pPr>
          </w:p>
        </w:tc>
        <w:tc>
          <w:tcPr>
            <w:tcW w:w="4719" w:type="dxa"/>
          </w:tcPr>
          <w:p w:rsidR="00FF71B6" w:rsidRDefault="00FF71B6" w:rsidP="00FF71B6">
            <w:r w:rsidRPr="00E339A1">
              <w:t xml:space="preserve">The proposed </w:t>
            </w:r>
            <w:r>
              <w:t>landscaping</w:t>
            </w:r>
            <w:r w:rsidRPr="00E339A1">
              <w:t xml:space="preserve"> is generally consistent with the UDG.</w:t>
            </w:r>
          </w:p>
          <w:p w:rsidR="00280BFF" w:rsidRPr="009E21BA" w:rsidRDefault="00D61CD1" w:rsidP="001B4DAE">
            <w:pPr>
              <w:tabs>
                <w:tab w:val="left" w:pos="7485"/>
              </w:tabs>
              <w:ind w:right="23"/>
            </w:pPr>
            <w:r w:rsidRPr="0030179D">
              <w:t>Council’s Landscape Architect has reviewed</w:t>
            </w:r>
            <w:r w:rsidR="00FF71B6">
              <w:t xml:space="preserve"> the proposed landscaping in accordance with the </w:t>
            </w:r>
            <w:r w:rsidRPr="0030179D">
              <w:t>suggested species within the UDG</w:t>
            </w:r>
            <w:r w:rsidR="00FF71B6">
              <w:t xml:space="preserve">. </w:t>
            </w:r>
            <w:r w:rsidR="00857186">
              <w:t xml:space="preserve">The officer is satisfied with the proposed landscaping outcomes. </w:t>
            </w:r>
            <w:r w:rsidR="00FF71B6">
              <w:t xml:space="preserve">In some instances, the officer </w:t>
            </w:r>
            <w:r w:rsidRPr="0030179D">
              <w:t>has substituted</w:t>
            </w:r>
            <w:r w:rsidR="00FF71B6">
              <w:t xml:space="preserve"> </w:t>
            </w:r>
            <w:r w:rsidRPr="0030179D">
              <w:t>species for similar, but more suitabl</w:t>
            </w:r>
            <w:r w:rsidR="00FF71B6">
              <w:t>e species</w:t>
            </w:r>
            <w:r w:rsidR="00857186">
              <w:t>, and the overall intent of the UDG is achieved.</w:t>
            </w:r>
            <w:r w:rsidR="001B4DAE" w:rsidRPr="0030179D">
              <w:t xml:space="preserve"> </w:t>
            </w:r>
          </w:p>
        </w:tc>
      </w:tr>
      <w:tr w:rsidR="00280BFF" w:rsidTr="00280BFF">
        <w:tc>
          <w:tcPr>
            <w:tcW w:w="3426" w:type="dxa"/>
            <w:vMerge/>
          </w:tcPr>
          <w:p w:rsidR="00280BFF" w:rsidRDefault="00280BFF" w:rsidP="00280BFF"/>
        </w:tc>
        <w:tc>
          <w:tcPr>
            <w:tcW w:w="5542" w:type="dxa"/>
          </w:tcPr>
          <w:p w:rsidR="001B4DAE" w:rsidRDefault="001B4DAE" w:rsidP="001B4DAE">
            <w:r w:rsidRPr="00280BFF">
              <w:t>Heritage shared pathway to accommodate pedestrians and cyclists to be provided along the alignment of the existing drainage reserve, then follow the former rail line towards the coast.</w:t>
            </w:r>
          </w:p>
          <w:p w:rsidR="001B4DAE" w:rsidRPr="001B4DAE" w:rsidRDefault="001B4DAE" w:rsidP="001B4DAE">
            <w:r>
              <w:t>R</w:t>
            </w:r>
            <w:r w:rsidRPr="00E339A1">
              <w:t xml:space="preserve">efer to page </w:t>
            </w:r>
            <w:r>
              <w:t>30</w:t>
            </w:r>
            <w:r w:rsidRPr="00E339A1">
              <w:t xml:space="preserve"> of</w:t>
            </w:r>
            <w:r w:rsidR="009E21BA">
              <w:t xml:space="preserve"> UDG.</w:t>
            </w:r>
          </w:p>
          <w:p w:rsidR="00280BFF" w:rsidRPr="00280BFF" w:rsidRDefault="00280BFF" w:rsidP="00280BFF"/>
        </w:tc>
        <w:tc>
          <w:tcPr>
            <w:tcW w:w="4719" w:type="dxa"/>
          </w:tcPr>
          <w:p w:rsidR="009E21BA" w:rsidRDefault="0030179D" w:rsidP="00EA25B3">
            <w:pPr>
              <w:tabs>
                <w:tab w:val="left" w:pos="7485"/>
              </w:tabs>
              <w:ind w:right="23"/>
              <w:rPr>
                <w:rFonts w:cs="Arial"/>
              </w:rPr>
            </w:pPr>
            <w:r>
              <w:rPr>
                <w:rFonts w:cs="Arial"/>
              </w:rPr>
              <w:t>The application proposes</w:t>
            </w:r>
            <w:r w:rsidR="00EA25B3">
              <w:rPr>
                <w:rFonts w:cs="Arial"/>
              </w:rPr>
              <w:t xml:space="preserve"> to construct </w:t>
            </w:r>
            <w:r w:rsidR="009E21BA">
              <w:rPr>
                <w:rFonts w:cs="Arial"/>
              </w:rPr>
              <w:t xml:space="preserve">a </w:t>
            </w:r>
            <w:r w:rsidR="00EA25B3">
              <w:rPr>
                <w:rFonts w:cs="Arial"/>
              </w:rPr>
              <w:t xml:space="preserve">heritage </w:t>
            </w:r>
            <w:r w:rsidR="009E21BA">
              <w:rPr>
                <w:rFonts w:cs="Arial"/>
              </w:rPr>
              <w:t xml:space="preserve">shared </w:t>
            </w:r>
            <w:r w:rsidR="00EA25B3">
              <w:rPr>
                <w:rFonts w:cs="Arial"/>
              </w:rPr>
              <w:t xml:space="preserve">pathway </w:t>
            </w:r>
            <w:r w:rsidR="009E21BA">
              <w:rPr>
                <w:rFonts w:cs="Arial"/>
              </w:rPr>
              <w:t xml:space="preserve">that is </w:t>
            </w:r>
            <w:r w:rsidR="00EA25B3">
              <w:rPr>
                <w:rFonts w:cs="Arial"/>
              </w:rPr>
              <w:t>2.5 m</w:t>
            </w:r>
            <w:r w:rsidR="009E21BA">
              <w:rPr>
                <w:rFonts w:cs="Arial"/>
              </w:rPr>
              <w:t>etre</w:t>
            </w:r>
            <w:r w:rsidR="00C76002">
              <w:rPr>
                <w:rFonts w:cs="Arial"/>
              </w:rPr>
              <w:t>s</w:t>
            </w:r>
            <w:r w:rsidR="00EA25B3">
              <w:rPr>
                <w:rFonts w:cs="Arial"/>
              </w:rPr>
              <w:t xml:space="preserve"> wide along the alignment former railway</w:t>
            </w:r>
            <w:r w:rsidR="009E21BA">
              <w:rPr>
                <w:rFonts w:cs="Arial"/>
              </w:rPr>
              <w:t xml:space="preserve"> and in accordance with the UDG.</w:t>
            </w:r>
          </w:p>
          <w:p w:rsidR="009E21BA" w:rsidRDefault="009E21BA" w:rsidP="00EA25B3">
            <w:pPr>
              <w:tabs>
                <w:tab w:val="left" w:pos="7485"/>
              </w:tabs>
              <w:ind w:right="23"/>
              <w:rPr>
                <w:rFonts w:cs="Arial"/>
              </w:rPr>
            </w:pPr>
            <w:r>
              <w:rPr>
                <w:rFonts w:cs="Arial"/>
              </w:rPr>
              <w:t>Satisfactory l</w:t>
            </w:r>
            <w:r w:rsidR="00EA25B3">
              <w:rPr>
                <w:rFonts w:cs="Arial"/>
              </w:rPr>
              <w:t xml:space="preserve">andscaping details </w:t>
            </w:r>
            <w:r>
              <w:rPr>
                <w:rFonts w:cs="Arial"/>
              </w:rPr>
              <w:t>have</w:t>
            </w:r>
            <w:r w:rsidR="00EA25B3">
              <w:rPr>
                <w:rFonts w:cs="Arial"/>
              </w:rPr>
              <w:t xml:space="preserve"> been provided</w:t>
            </w:r>
            <w:r>
              <w:rPr>
                <w:rFonts w:cs="Arial"/>
              </w:rPr>
              <w:t>.</w:t>
            </w:r>
          </w:p>
          <w:p w:rsidR="009E21BA" w:rsidRPr="009E21BA" w:rsidRDefault="009E21BA" w:rsidP="009E21BA">
            <w:pPr>
              <w:rPr>
                <w:rFonts w:cs="Arial"/>
              </w:rPr>
            </w:pPr>
            <w:r>
              <w:t xml:space="preserve">Detailed design plans </w:t>
            </w:r>
            <w:r w:rsidRPr="008D7040">
              <w:t>have not been provided.</w:t>
            </w:r>
            <w:r>
              <w:t xml:space="preserve"> </w:t>
            </w:r>
            <w:r w:rsidRPr="008D7040">
              <w:t xml:space="preserve">Council recommend further details are provided prior to determination. Alternatively, conditions can be imposed requiring detailed </w:t>
            </w:r>
            <w:r>
              <w:t xml:space="preserve">design </w:t>
            </w:r>
            <w:r w:rsidRPr="008D7040">
              <w:t>plans be provided for these parks with the respective Subdivision Works Certificate.</w:t>
            </w:r>
          </w:p>
        </w:tc>
      </w:tr>
      <w:tr w:rsidR="00280BFF" w:rsidTr="00280BFF">
        <w:tc>
          <w:tcPr>
            <w:tcW w:w="3426" w:type="dxa"/>
          </w:tcPr>
          <w:p w:rsidR="00280BFF" w:rsidRDefault="00280BFF" w:rsidP="00280BFF">
            <w:r>
              <w:t>B1.4 Plant types and materials</w:t>
            </w:r>
          </w:p>
        </w:tc>
        <w:tc>
          <w:tcPr>
            <w:tcW w:w="5542" w:type="dxa"/>
          </w:tcPr>
          <w:p w:rsidR="001B4DAE" w:rsidRDefault="001B4DAE" w:rsidP="00280BFF">
            <w:r w:rsidRPr="00EE5B32">
              <w:t xml:space="preserve">This control gives guidance to the </w:t>
            </w:r>
            <w:r>
              <w:t>plant types and materials throughout public domain areas in the development, including:</w:t>
            </w:r>
          </w:p>
          <w:p w:rsidR="001B4DAE" w:rsidRDefault="001B4DAE" w:rsidP="001B4DAE">
            <w:pPr>
              <w:pStyle w:val="ListParagraph"/>
              <w:numPr>
                <w:ilvl w:val="0"/>
                <w:numId w:val="38"/>
              </w:numPr>
            </w:pPr>
            <w:r>
              <w:t>use of local and endemic species</w:t>
            </w:r>
          </w:p>
          <w:p w:rsidR="001B4DAE" w:rsidRDefault="001B4DAE" w:rsidP="001B4DAE">
            <w:pPr>
              <w:pStyle w:val="ListParagraph"/>
              <w:numPr>
                <w:ilvl w:val="0"/>
                <w:numId w:val="38"/>
              </w:numPr>
            </w:pPr>
            <w:r>
              <w:t>mixture of small and tall trees</w:t>
            </w:r>
          </w:p>
          <w:p w:rsidR="001B4DAE" w:rsidRDefault="001B4DAE" w:rsidP="001B4DAE">
            <w:pPr>
              <w:pStyle w:val="ListParagraph"/>
              <w:numPr>
                <w:ilvl w:val="0"/>
                <w:numId w:val="38"/>
              </w:numPr>
            </w:pPr>
            <w:r>
              <w:t>simple public domain materials</w:t>
            </w:r>
          </w:p>
          <w:p w:rsidR="001B4DAE" w:rsidRDefault="001B4DAE" w:rsidP="001B4DAE">
            <w:pPr>
              <w:pStyle w:val="ListParagraph"/>
              <w:numPr>
                <w:ilvl w:val="0"/>
                <w:numId w:val="38"/>
              </w:numPr>
            </w:pPr>
            <w:r>
              <w:t>kerb ramps at intersections</w:t>
            </w:r>
          </w:p>
          <w:p w:rsidR="001B4DAE" w:rsidRDefault="001B4DAE" w:rsidP="001B4DAE">
            <w:pPr>
              <w:pStyle w:val="ListParagraph"/>
              <w:numPr>
                <w:ilvl w:val="0"/>
                <w:numId w:val="38"/>
              </w:numPr>
            </w:pPr>
            <w:r>
              <w:lastRenderedPageBreak/>
              <w:t>light pole design</w:t>
            </w:r>
          </w:p>
          <w:p w:rsidR="001B4DAE" w:rsidRDefault="001B4DAE" w:rsidP="001B4DAE">
            <w:pPr>
              <w:pStyle w:val="ListParagraph"/>
              <w:numPr>
                <w:ilvl w:val="0"/>
                <w:numId w:val="38"/>
              </w:numPr>
            </w:pPr>
            <w:r>
              <w:t>species of tree planting in streets and parking lanes</w:t>
            </w:r>
          </w:p>
          <w:p w:rsidR="001B4DAE" w:rsidRDefault="001B4DAE" w:rsidP="001B4DAE">
            <w:pPr>
              <w:pStyle w:val="ListParagraph"/>
              <w:numPr>
                <w:ilvl w:val="0"/>
                <w:numId w:val="38"/>
              </w:numPr>
            </w:pPr>
            <w:r>
              <w:t>species for planting in swales</w:t>
            </w:r>
          </w:p>
          <w:p w:rsidR="001B4DAE" w:rsidRDefault="001B4DAE" w:rsidP="001B4DAE">
            <w:pPr>
              <w:pStyle w:val="ListParagraph"/>
              <w:numPr>
                <w:ilvl w:val="0"/>
                <w:numId w:val="38"/>
              </w:numPr>
            </w:pPr>
            <w:r>
              <w:t>groundcover species.</w:t>
            </w:r>
          </w:p>
          <w:p w:rsidR="00280BFF" w:rsidRPr="001B4DAE" w:rsidRDefault="001B4DAE" w:rsidP="00280BFF">
            <w:r>
              <w:t>R</w:t>
            </w:r>
            <w:r w:rsidRPr="00E339A1">
              <w:t xml:space="preserve">efer to page </w:t>
            </w:r>
            <w:r>
              <w:t>31</w:t>
            </w:r>
            <w:r w:rsidRPr="00E339A1">
              <w:t xml:space="preserve"> of</w:t>
            </w:r>
            <w:r w:rsidR="00AC5E5A">
              <w:t xml:space="preserve"> UDG.</w:t>
            </w:r>
          </w:p>
        </w:tc>
        <w:tc>
          <w:tcPr>
            <w:tcW w:w="4719" w:type="dxa"/>
          </w:tcPr>
          <w:p w:rsidR="00AC5E5A" w:rsidRPr="00AC5E5A" w:rsidRDefault="00AC5E5A" w:rsidP="00280BFF">
            <w:pPr>
              <w:rPr>
                <w:highlight w:val="yellow"/>
              </w:rPr>
            </w:pPr>
            <w:r w:rsidRPr="00E35140">
              <w:lastRenderedPageBreak/>
              <w:t xml:space="preserve">Council’s Landscape Architect has reviewed the proposed landscaping in accordance with the suggested species within the UDG. The officer is satisfied with the proposed landscaping outcomes. In some instances, the officer has substituted species for similar, </w:t>
            </w:r>
            <w:r w:rsidRPr="00E35140">
              <w:lastRenderedPageBreak/>
              <w:t>but more suitable species, and the overall intent of the UDG is achieved.</w:t>
            </w:r>
          </w:p>
        </w:tc>
      </w:tr>
      <w:tr w:rsidR="00D2589B" w:rsidTr="00280BFF">
        <w:tc>
          <w:tcPr>
            <w:tcW w:w="3426" w:type="dxa"/>
            <w:vMerge w:val="restart"/>
          </w:tcPr>
          <w:p w:rsidR="00D2589B" w:rsidRDefault="00D2589B" w:rsidP="00280BFF">
            <w:r>
              <w:lastRenderedPageBreak/>
              <w:t>B2.1  Building types</w:t>
            </w:r>
          </w:p>
        </w:tc>
        <w:tc>
          <w:tcPr>
            <w:tcW w:w="5542" w:type="dxa"/>
          </w:tcPr>
          <w:p w:rsidR="00D2589B" w:rsidRPr="001B4DAE" w:rsidRDefault="00D2589B" w:rsidP="00280BFF">
            <w:r w:rsidRPr="001B4DAE">
              <w:t>The UDG provides three lot type and building designs:</w:t>
            </w:r>
          </w:p>
          <w:p w:rsidR="00D2589B" w:rsidRPr="001B4DAE" w:rsidRDefault="00D2589B" w:rsidP="001B4DAE">
            <w:pPr>
              <w:pStyle w:val="ListParagraph"/>
              <w:numPr>
                <w:ilvl w:val="0"/>
                <w:numId w:val="39"/>
              </w:numPr>
            </w:pPr>
            <w:r w:rsidRPr="001B4DAE">
              <w:t>Village Courtyard lots</w:t>
            </w:r>
            <w:r w:rsidR="00F34A3C">
              <w:t xml:space="preserve"> – </w:t>
            </w:r>
            <w:r w:rsidR="001E781B">
              <w:t xml:space="preserve">min </w:t>
            </w:r>
            <w:r w:rsidR="00F34A3C">
              <w:t>450m</w:t>
            </w:r>
            <w:r w:rsidR="00F34A3C" w:rsidRPr="00F34A3C">
              <w:rPr>
                <w:vertAlign w:val="superscript"/>
              </w:rPr>
              <w:t>2</w:t>
            </w:r>
            <w:r w:rsidR="000D34F7">
              <w:rPr>
                <w:vertAlign w:val="superscript"/>
              </w:rPr>
              <w:t xml:space="preserve"> </w:t>
            </w:r>
            <w:r w:rsidR="000D34F7">
              <w:t>with a min 15m frontage</w:t>
            </w:r>
          </w:p>
          <w:p w:rsidR="00D2589B" w:rsidRPr="001B4DAE" w:rsidRDefault="00D2589B" w:rsidP="001B4DAE">
            <w:pPr>
              <w:pStyle w:val="ListParagraph"/>
              <w:numPr>
                <w:ilvl w:val="0"/>
                <w:numId w:val="39"/>
              </w:numPr>
            </w:pPr>
            <w:r w:rsidRPr="001B4DAE">
              <w:t>Hamlet lots</w:t>
            </w:r>
            <w:r w:rsidR="00F34A3C">
              <w:t xml:space="preserve"> – </w:t>
            </w:r>
            <w:r w:rsidR="001E781B">
              <w:t xml:space="preserve">min </w:t>
            </w:r>
            <w:r w:rsidR="00F34A3C">
              <w:t>520m</w:t>
            </w:r>
            <w:r w:rsidR="00F34A3C" w:rsidRPr="00F34A3C">
              <w:rPr>
                <w:vertAlign w:val="superscript"/>
              </w:rPr>
              <w:t>2</w:t>
            </w:r>
            <w:r w:rsidR="000D34F7">
              <w:rPr>
                <w:vertAlign w:val="superscript"/>
              </w:rPr>
              <w:t xml:space="preserve"> </w:t>
            </w:r>
            <w:r w:rsidR="000D34F7">
              <w:t xml:space="preserve">with typically 15m </w:t>
            </w:r>
            <w:r w:rsidR="00B33639">
              <w:t>frontage</w:t>
            </w:r>
          </w:p>
          <w:p w:rsidR="00D2589B" w:rsidRDefault="00D2589B" w:rsidP="001B4DAE">
            <w:pPr>
              <w:pStyle w:val="ListParagraph"/>
              <w:numPr>
                <w:ilvl w:val="0"/>
                <w:numId w:val="39"/>
              </w:numPr>
            </w:pPr>
            <w:r w:rsidRPr="001B4DAE">
              <w:t xml:space="preserve">Traditional Courtyard including </w:t>
            </w:r>
            <w:r>
              <w:t xml:space="preserve">all </w:t>
            </w:r>
            <w:r w:rsidRPr="001B4DAE">
              <w:t>corner lots</w:t>
            </w:r>
            <w:r w:rsidR="00F34A3C">
              <w:t xml:space="preserve"> – </w:t>
            </w:r>
            <w:r w:rsidR="001E781B">
              <w:t xml:space="preserve">min </w:t>
            </w:r>
            <w:r w:rsidR="00F34A3C">
              <w:t>600m</w:t>
            </w:r>
            <w:r w:rsidR="00F34A3C" w:rsidRPr="00F34A3C">
              <w:rPr>
                <w:vertAlign w:val="superscript"/>
              </w:rPr>
              <w:t>2</w:t>
            </w:r>
            <w:r w:rsidR="000D34F7">
              <w:t xml:space="preserve"> with typically 20m frontage</w:t>
            </w:r>
          </w:p>
          <w:p w:rsidR="00D2589B" w:rsidRPr="001B4DAE" w:rsidRDefault="00D2589B" w:rsidP="001B4DAE">
            <w:r>
              <w:t>R</w:t>
            </w:r>
            <w:r w:rsidRPr="00E339A1">
              <w:t xml:space="preserve">efer to page </w:t>
            </w:r>
            <w:r>
              <w:t>32-34</w:t>
            </w:r>
            <w:r w:rsidRPr="00E339A1">
              <w:t xml:space="preserve"> of</w:t>
            </w:r>
            <w:r w:rsidR="00AC5E5A">
              <w:t xml:space="preserve"> UDG.</w:t>
            </w:r>
          </w:p>
        </w:tc>
        <w:tc>
          <w:tcPr>
            <w:tcW w:w="4719" w:type="dxa"/>
          </w:tcPr>
          <w:p w:rsidR="00D2589B" w:rsidRPr="008C44A0" w:rsidRDefault="008C44A0" w:rsidP="00F66304">
            <w:r>
              <w:t>Lot types are dispersed across Hamlet A and B. Consideration of the lot types is detailed below.</w:t>
            </w:r>
          </w:p>
        </w:tc>
      </w:tr>
      <w:tr w:rsidR="00D2589B" w:rsidTr="00280BFF">
        <w:tc>
          <w:tcPr>
            <w:tcW w:w="3426" w:type="dxa"/>
            <w:vMerge/>
          </w:tcPr>
          <w:p w:rsidR="00D2589B" w:rsidRDefault="00D2589B" w:rsidP="00280BFF"/>
        </w:tc>
        <w:tc>
          <w:tcPr>
            <w:tcW w:w="5542" w:type="dxa"/>
          </w:tcPr>
          <w:p w:rsidR="00D2589B" w:rsidRPr="00D2589B" w:rsidRDefault="00D2589B" w:rsidP="00280BFF">
            <w:r w:rsidRPr="00D2589B">
              <w:t>Village Courtyard lots include:</w:t>
            </w:r>
          </w:p>
          <w:p w:rsidR="00D2589B" w:rsidRPr="00D2589B" w:rsidRDefault="00D2589B" w:rsidP="001B4DAE">
            <w:pPr>
              <w:pStyle w:val="ListParagraph"/>
              <w:numPr>
                <w:ilvl w:val="0"/>
                <w:numId w:val="40"/>
              </w:numPr>
            </w:pPr>
            <w:r w:rsidRPr="00D2589B">
              <w:t>detached dwellings</w:t>
            </w:r>
          </w:p>
          <w:p w:rsidR="00D2589B" w:rsidRPr="00D2589B" w:rsidRDefault="00D2589B" w:rsidP="001B4DAE">
            <w:pPr>
              <w:pStyle w:val="ListParagraph"/>
              <w:numPr>
                <w:ilvl w:val="0"/>
                <w:numId w:val="40"/>
              </w:numPr>
            </w:pPr>
            <w:r w:rsidRPr="00D2589B">
              <w:t>two-storey</w:t>
            </w:r>
          </w:p>
          <w:p w:rsidR="00D2589B" w:rsidRPr="00D2589B" w:rsidRDefault="00D2589B" w:rsidP="001B4DAE">
            <w:pPr>
              <w:pStyle w:val="ListParagraph"/>
              <w:numPr>
                <w:ilvl w:val="0"/>
                <w:numId w:val="40"/>
              </w:numPr>
            </w:pPr>
            <w:r w:rsidRPr="00D2589B">
              <w:t>15m minimum lot frontage</w:t>
            </w:r>
          </w:p>
          <w:p w:rsidR="00D2589B" w:rsidRPr="00D2589B" w:rsidRDefault="00D2589B" w:rsidP="001B4DAE">
            <w:pPr>
              <w:pStyle w:val="ListParagraph"/>
              <w:numPr>
                <w:ilvl w:val="0"/>
                <w:numId w:val="40"/>
              </w:numPr>
            </w:pPr>
            <w:r w:rsidRPr="00D2589B">
              <w:t>450m</w:t>
            </w:r>
            <w:r w:rsidRPr="00D2589B">
              <w:rPr>
                <w:vertAlign w:val="superscript"/>
              </w:rPr>
              <w:t>2</w:t>
            </w:r>
            <w:r w:rsidRPr="00D2589B">
              <w:t xml:space="preserve"> lot area</w:t>
            </w:r>
          </w:p>
        </w:tc>
        <w:tc>
          <w:tcPr>
            <w:tcW w:w="4719" w:type="dxa"/>
          </w:tcPr>
          <w:p w:rsidR="00D2589B" w:rsidRPr="00F66304" w:rsidRDefault="007B17FC" w:rsidP="007B17FC">
            <w:r w:rsidRPr="00F66304">
              <w:t>All</w:t>
            </w:r>
            <w:r w:rsidR="006F627D" w:rsidRPr="00F66304">
              <w:t xml:space="preserve"> </w:t>
            </w:r>
            <w:r w:rsidRPr="00F66304">
              <w:t xml:space="preserve">proposed </w:t>
            </w:r>
            <w:r w:rsidR="006F627D" w:rsidRPr="00F66304">
              <w:t xml:space="preserve">village courtyard lots comply with the minimum lot area and frontage, and enable future desirable building form to be achieved on the lots. </w:t>
            </w:r>
          </w:p>
        </w:tc>
      </w:tr>
      <w:tr w:rsidR="00D2589B" w:rsidTr="00280BFF">
        <w:tc>
          <w:tcPr>
            <w:tcW w:w="3426" w:type="dxa"/>
            <w:vMerge/>
          </w:tcPr>
          <w:p w:rsidR="00D2589B" w:rsidRDefault="00D2589B" w:rsidP="00D2589B"/>
        </w:tc>
        <w:tc>
          <w:tcPr>
            <w:tcW w:w="5542" w:type="dxa"/>
          </w:tcPr>
          <w:p w:rsidR="00D2589B" w:rsidRPr="00D2589B" w:rsidRDefault="00D2589B" w:rsidP="00D2589B">
            <w:r w:rsidRPr="00D2589B">
              <w:t>Hamlet lots include:</w:t>
            </w:r>
          </w:p>
          <w:p w:rsidR="00D2589B" w:rsidRPr="00D2589B" w:rsidRDefault="00D2589B" w:rsidP="00D2589B">
            <w:pPr>
              <w:pStyle w:val="ListParagraph"/>
              <w:numPr>
                <w:ilvl w:val="0"/>
                <w:numId w:val="40"/>
              </w:numPr>
            </w:pPr>
            <w:r w:rsidRPr="00D2589B">
              <w:t>detached dwellings</w:t>
            </w:r>
          </w:p>
          <w:p w:rsidR="00D2589B" w:rsidRPr="00D2589B" w:rsidRDefault="00D2589B" w:rsidP="00D2589B">
            <w:pPr>
              <w:pStyle w:val="ListParagraph"/>
              <w:numPr>
                <w:ilvl w:val="0"/>
                <w:numId w:val="40"/>
              </w:numPr>
            </w:pPr>
            <w:r w:rsidRPr="00D2589B">
              <w:t>single-storey</w:t>
            </w:r>
          </w:p>
          <w:p w:rsidR="00D2589B" w:rsidRPr="00D2589B" w:rsidRDefault="00D2589B" w:rsidP="00D2589B">
            <w:pPr>
              <w:pStyle w:val="ListParagraph"/>
              <w:numPr>
                <w:ilvl w:val="0"/>
                <w:numId w:val="40"/>
              </w:numPr>
            </w:pPr>
            <w:r w:rsidRPr="00D2589B">
              <w:t>courtyard or L-shaped dwellings</w:t>
            </w:r>
          </w:p>
          <w:p w:rsidR="00D2589B" w:rsidRPr="00D2589B" w:rsidRDefault="00D2589B" w:rsidP="00D2589B">
            <w:pPr>
              <w:pStyle w:val="ListParagraph"/>
              <w:numPr>
                <w:ilvl w:val="0"/>
                <w:numId w:val="40"/>
              </w:numPr>
            </w:pPr>
            <w:r w:rsidRPr="00D2589B">
              <w:t>typical 15m minimum lot frontage</w:t>
            </w:r>
          </w:p>
          <w:p w:rsidR="00D2589B" w:rsidRPr="00D2589B" w:rsidRDefault="00D2589B" w:rsidP="00D2589B">
            <w:pPr>
              <w:pStyle w:val="ListParagraph"/>
              <w:numPr>
                <w:ilvl w:val="0"/>
                <w:numId w:val="40"/>
              </w:numPr>
            </w:pPr>
            <w:r w:rsidRPr="00D2589B">
              <w:t>520m</w:t>
            </w:r>
            <w:r w:rsidRPr="00D2589B">
              <w:rPr>
                <w:vertAlign w:val="superscript"/>
              </w:rPr>
              <w:t>2</w:t>
            </w:r>
            <w:r w:rsidRPr="00D2589B">
              <w:t xml:space="preserve"> lot area</w:t>
            </w:r>
          </w:p>
          <w:p w:rsidR="00D2589B" w:rsidRPr="00D2589B" w:rsidRDefault="00D2589B" w:rsidP="00D2589B">
            <w:pPr>
              <w:pStyle w:val="ListParagraph"/>
              <w:numPr>
                <w:ilvl w:val="0"/>
                <w:numId w:val="40"/>
              </w:numPr>
            </w:pPr>
            <w:r w:rsidRPr="00D2589B">
              <w:t>front vehicle access</w:t>
            </w:r>
          </w:p>
        </w:tc>
        <w:tc>
          <w:tcPr>
            <w:tcW w:w="4719" w:type="dxa"/>
          </w:tcPr>
          <w:p w:rsidR="00D2589B" w:rsidRPr="00F66304" w:rsidRDefault="007B17FC" w:rsidP="007B17FC">
            <w:r w:rsidRPr="00F66304">
              <w:t xml:space="preserve">All </w:t>
            </w:r>
            <w:r w:rsidR="006F627D" w:rsidRPr="00F66304">
              <w:t>hamlet lots comply with the minimum lot area and frontage, and enable future desirable building form to be achieved on the lots.</w:t>
            </w:r>
          </w:p>
        </w:tc>
      </w:tr>
      <w:tr w:rsidR="00D2589B" w:rsidTr="00280BFF">
        <w:tc>
          <w:tcPr>
            <w:tcW w:w="3426" w:type="dxa"/>
            <w:vMerge/>
          </w:tcPr>
          <w:p w:rsidR="00D2589B" w:rsidRDefault="00D2589B" w:rsidP="00D2589B"/>
        </w:tc>
        <w:tc>
          <w:tcPr>
            <w:tcW w:w="5542" w:type="dxa"/>
          </w:tcPr>
          <w:p w:rsidR="00D2589B" w:rsidRPr="00D2589B" w:rsidRDefault="00D2589B" w:rsidP="00D2589B">
            <w:r w:rsidRPr="001B4DAE">
              <w:t xml:space="preserve">Traditional Courtyard including </w:t>
            </w:r>
            <w:r>
              <w:t xml:space="preserve">all </w:t>
            </w:r>
            <w:r w:rsidRPr="001B4DAE">
              <w:t xml:space="preserve">corner </w:t>
            </w:r>
            <w:r w:rsidRPr="00D2589B">
              <w:t>lots include:</w:t>
            </w:r>
          </w:p>
          <w:p w:rsidR="00D2589B" w:rsidRPr="00D2589B" w:rsidRDefault="00D2589B" w:rsidP="00D2589B">
            <w:pPr>
              <w:pStyle w:val="ListParagraph"/>
              <w:numPr>
                <w:ilvl w:val="0"/>
                <w:numId w:val="40"/>
              </w:numPr>
            </w:pPr>
            <w:r w:rsidRPr="00D2589B">
              <w:t>detached dwellings</w:t>
            </w:r>
          </w:p>
          <w:p w:rsidR="00D2589B" w:rsidRPr="00D2589B" w:rsidRDefault="00D2589B" w:rsidP="00D2589B">
            <w:pPr>
              <w:pStyle w:val="ListParagraph"/>
              <w:numPr>
                <w:ilvl w:val="0"/>
                <w:numId w:val="40"/>
              </w:numPr>
            </w:pPr>
            <w:r w:rsidRPr="00D2589B">
              <w:lastRenderedPageBreak/>
              <w:t>single</w:t>
            </w:r>
            <w:r>
              <w:t xml:space="preserve"> or two</w:t>
            </w:r>
            <w:r w:rsidRPr="00D2589B">
              <w:t>-storey</w:t>
            </w:r>
          </w:p>
          <w:p w:rsidR="00D2589B" w:rsidRPr="00D2589B" w:rsidRDefault="00D2589B" w:rsidP="00D2589B">
            <w:pPr>
              <w:pStyle w:val="ListParagraph"/>
              <w:numPr>
                <w:ilvl w:val="0"/>
                <w:numId w:val="40"/>
              </w:numPr>
            </w:pPr>
            <w:r>
              <w:t>t</w:t>
            </w:r>
            <w:r w:rsidRPr="00D2589B">
              <w:t xml:space="preserve">ypical </w:t>
            </w:r>
            <w:r>
              <w:t>20</w:t>
            </w:r>
            <w:r w:rsidRPr="00D2589B">
              <w:t>m minimum lot frontage</w:t>
            </w:r>
          </w:p>
          <w:p w:rsidR="00D2589B" w:rsidRPr="00D2589B" w:rsidRDefault="00D2589B" w:rsidP="00D2589B">
            <w:pPr>
              <w:pStyle w:val="ListParagraph"/>
              <w:numPr>
                <w:ilvl w:val="0"/>
                <w:numId w:val="40"/>
              </w:numPr>
            </w:pPr>
            <w:r>
              <w:t>600</w:t>
            </w:r>
            <w:r w:rsidRPr="00D2589B">
              <w:t>m</w:t>
            </w:r>
            <w:r w:rsidRPr="00D2589B">
              <w:rPr>
                <w:vertAlign w:val="superscript"/>
              </w:rPr>
              <w:t>2</w:t>
            </w:r>
            <w:r w:rsidRPr="00D2589B">
              <w:t xml:space="preserve"> lot area</w:t>
            </w:r>
          </w:p>
          <w:p w:rsidR="00D2589B" w:rsidRPr="00D2589B" w:rsidRDefault="00D2589B" w:rsidP="00D2589B">
            <w:pPr>
              <w:pStyle w:val="ListParagraph"/>
              <w:numPr>
                <w:ilvl w:val="0"/>
                <w:numId w:val="40"/>
              </w:numPr>
            </w:pPr>
            <w:r w:rsidRPr="00D2589B">
              <w:t>front vehicle access</w:t>
            </w:r>
            <w:r>
              <w:t>, corner lots may have side access</w:t>
            </w:r>
          </w:p>
        </w:tc>
        <w:tc>
          <w:tcPr>
            <w:tcW w:w="4719" w:type="dxa"/>
          </w:tcPr>
          <w:p w:rsidR="006F627D" w:rsidRPr="00F66304" w:rsidRDefault="007B17FC" w:rsidP="006F627D">
            <w:r w:rsidRPr="00F66304">
              <w:lastRenderedPageBreak/>
              <w:t xml:space="preserve">All </w:t>
            </w:r>
            <w:r w:rsidR="006F627D" w:rsidRPr="00F66304">
              <w:t xml:space="preserve">traditional lots comply with the minimum lot area and frontage, and enable future </w:t>
            </w:r>
            <w:r w:rsidR="006F627D" w:rsidRPr="00F66304">
              <w:lastRenderedPageBreak/>
              <w:t>desirable building form to be achieved on the lots.</w:t>
            </w:r>
          </w:p>
          <w:p w:rsidR="007B17FC" w:rsidRPr="00F66304" w:rsidRDefault="008C44A0" w:rsidP="007B17FC">
            <w:r>
              <w:t>Thirty-five c</w:t>
            </w:r>
            <w:r w:rsidR="007B17FC" w:rsidRPr="00F66304">
              <w:t>orner lots comply with the minimum lot area and frontage, and enable future desirable building form to be achieved on the lots.</w:t>
            </w:r>
          </w:p>
          <w:p w:rsidR="00D2589B" w:rsidRPr="00F66304" w:rsidRDefault="008C44A0" w:rsidP="006F627D">
            <w:pPr>
              <w:rPr>
                <w:color w:val="7030A0"/>
              </w:rPr>
            </w:pPr>
            <w:r>
              <w:t>Nine c</w:t>
            </w:r>
            <w:r w:rsidR="00F66304" w:rsidRPr="00F66304">
              <w:t xml:space="preserve">orner </w:t>
            </w:r>
            <w:r w:rsidR="006F627D" w:rsidRPr="00F66304">
              <w:t xml:space="preserve">lots do not comply with the minimum lot area </w:t>
            </w:r>
            <w:r w:rsidR="00F66304">
              <w:t>and/</w:t>
            </w:r>
            <w:r w:rsidR="00F66304" w:rsidRPr="00F66304">
              <w:t>or</w:t>
            </w:r>
            <w:r w:rsidR="006F627D" w:rsidRPr="00F66304">
              <w:t xml:space="preserve"> frontage. The proposed variations are considered acceptable as it will still enable the desirable building form to be achieved on the lots.</w:t>
            </w:r>
          </w:p>
        </w:tc>
      </w:tr>
      <w:tr w:rsidR="00D2589B" w:rsidTr="00280BFF">
        <w:tc>
          <w:tcPr>
            <w:tcW w:w="3426" w:type="dxa"/>
          </w:tcPr>
          <w:p w:rsidR="00D2589B" w:rsidRDefault="00D2589B" w:rsidP="00D2589B">
            <w:r>
              <w:lastRenderedPageBreak/>
              <w:t>B2.7 Asset protection zones</w:t>
            </w:r>
          </w:p>
        </w:tc>
        <w:tc>
          <w:tcPr>
            <w:tcW w:w="5542" w:type="dxa"/>
          </w:tcPr>
          <w:p w:rsidR="00D2589B" w:rsidRPr="00CA76AB" w:rsidRDefault="00D2589B" w:rsidP="00D2589B">
            <w:pPr>
              <w:rPr>
                <w:i/>
              </w:rPr>
            </w:pPr>
            <w:r w:rsidRPr="00CA76AB">
              <w:t>Th</w:t>
            </w:r>
            <w:r w:rsidR="00CA76AB" w:rsidRPr="00CA76AB">
              <w:t>is</w:t>
            </w:r>
            <w:r w:rsidRPr="00CA76AB">
              <w:t xml:space="preserve"> control</w:t>
            </w:r>
            <w:r w:rsidR="00CA76AB" w:rsidRPr="00CA76AB">
              <w:t xml:space="preserve"> species requirements to provide asset protection zones consistent with </w:t>
            </w:r>
            <w:r w:rsidR="00CA76AB" w:rsidRPr="00CA76AB">
              <w:rPr>
                <w:i/>
              </w:rPr>
              <w:t>Planning for Bushfire Protection.</w:t>
            </w:r>
            <w:bookmarkStart w:id="0" w:name="_GoBack"/>
            <w:bookmarkEnd w:id="0"/>
          </w:p>
        </w:tc>
        <w:tc>
          <w:tcPr>
            <w:tcW w:w="4719" w:type="dxa"/>
          </w:tcPr>
          <w:p w:rsidR="0075215E" w:rsidRDefault="00E35140" w:rsidP="00D2589B">
            <w:r w:rsidRPr="00E35140">
              <w:t xml:space="preserve">The proposal provides suitable Asset Protection Zones (APZ) along all boundaries that are adjacent to bushland.  </w:t>
            </w:r>
          </w:p>
          <w:p w:rsidR="0075215E" w:rsidRDefault="00E35140" w:rsidP="00D2589B">
            <w:r w:rsidRPr="00E35140">
              <w:t xml:space="preserve">A majority of </w:t>
            </w:r>
            <w:proofErr w:type="spellStart"/>
            <w:r w:rsidRPr="00E35140">
              <w:t>APZs</w:t>
            </w:r>
            <w:proofErr w:type="spellEnd"/>
            <w:r w:rsidRPr="00E35140">
              <w:t xml:space="preserve"> are contained within proposed road reserves with some lots requiring </w:t>
            </w:r>
            <w:proofErr w:type="spellStart"/>
            <w:r w:rsidRPr="00E35140">
              <w:t>APZs</w:t>
            </w:r>
            <w:proofErr w:type="spellEnd"/>
            <w:r w:rsidRPr="00E35140">
              <w:t xml:space="preserve"> to encroach into their front o</w:t>
            </w:r>
            <w:r w:rsidR="0075215E">
              <w:t>r</w:t>
            </w:r>
            <w:r w:rsidRPr="00E35140">
              <w:t xml:space="preserve"> rear setback.</w:t>
            </w:r>
          </w:p>
          <w:p w:rsidR="0075215E" w:rsidRDefault="00E35140" w:rsidP="00D2589B">
            <w:r w:rsidRPr="00E35140">
              <w:t>Th</w:t>
            </w:r>
            <w:r w:rsidR="0075215E">
              <w:t xml:space="preserve">is outcome </w:t>
            </w:r>
            <w:r w:rsidRPr="00E35140">
              <w:t xml:space="preserve">is consistent with the bushfire assessment approved by the NSW RFS.  </w:t>
            </w:r>
          </w:p>
          <w:p w:rsidR="00D2589B" w:rsidRPr="00EB0406" w:rsidRDefault="00E35140" w:rsidP="00D2589B">
            <w:pPr>
              <w:rPr>
                <w:highlight w:val="yellow"/>
              </w:rPr>
            </w:pPr>
            <w:r w:rsidRPr="00E35140">
              <w:t xml:space="preserve">Where future public lands such as drainage reserves are required to act as </w:t>
            </w:r>
            <w:proofErr w:type="spellStart"/>
            <w:r w:rsidRPr="00E35140">
              <w:t>APZ</w:t>
            </w:r>
            <w:r w:rsidR="0075215E">
              <w:t>s</w:t>
            </w:r>
            <w:proofErr w:type="spellEnd"/>
            <w:r w:rsidR="0075215E">
              <w:t>,</w:t>
            </w:r>
            <w:r w:rsidRPr="00E35140">
              <w:t xml:space="preserve"> suitable </w:t>
            </w:r>
            <w:r w:rsidR="0075215E">
              <w:t xml:space="preserve">landscaping </w:t>
            </w:r>
            <w:r w:rsidRPr="00E35140">
              <w:t xml:space="preserve">species are proposed to ensure there is not an unreasonable maintenance burden </w:t>
            </w:r>
            <w:r w:rsidR="0075215E">
              <w:t xml:space="preserve">to </w:t>
            </w:r>
            <w:r w:rsidRPr="00E35140">
              <w:t>Council.</w:t>
            </w:r>
          </w:p>
        </w:tc>
      </w:tr>
    </w:tbl>
    <w:p w:rsidR="00BD79DA" w:rsidRDefault="00BD79DA" w:rsidP="00BD79DA">
      <w:pPr>
        <w:shd w:val="clear" w:color="auto" w:fill="FFFFFF"/>
        <w:ind w:right="-23"/>
      </w:pPr>
    </w:p>
    <w:sectPr w:rsidR="00BD79DA" w:rsidSect="00BD79DA">
      <w:footerReference w:type="default" r:id="rId7"/>
      <w:footerReference w:type="first" r:id="rId8"/>
      <w:pgSz w:w="16838" w:h="11906" w:orient="landscape"/>
      <w:pgMar w:top="1701" w:right="1440" w:bottom="1440" w:left="1701" w:header="567" w:footer="567"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86A" w:rsidRDefault="0081386A" w:rsidP="00493096">
      <w:pPr>
        <w:spacing w:after="0"/>
      </w:pPr>
      <w:r>
        <w:separator/>
      </w:r>
    </w:p>
  </w:endnote>
  <w:endnote w:type="continuationSeparator" w:id="0">
    <w:p w:rsidR="0081386A" w:rsidRDefault="0081386A"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406" w:rsidRPr="00EB0406" w:rsidRDefault="00EB0406" w:rsidP="002506B4">
    <w:pPr>
      <w:pStyle w:val="Footer"/>
      <w:tabs>
        <w:tab w:val="left" w:pos="7088"/>
      </w:tabs>
      <w:rPr>
        <w:rFonts w:cs="Arial"/>
        <w:i w:val="0"/>
        <w:sz w:val="20"/>
        <w:szCs w:val="20"/>
      </w:rPr>
    </w:pPr>
    <w:r>
      <w:rPr>
        <w:rFonts w:cs="Arial"/>
        <w:i w:val="0"/>
        <w:sz w:val="20"/>
        <w:szCs w:val="20"/>
      </w:rPr>
      <w:t>Attachment</w:t>
    </w:r>
    <w:r w:rsidR="00FF71B6">
      <w:rPr>
        <w:rFonts w:cs="Arial"/>
        <w:i w:val="0"/>
        <w:sz w:val="20"/>
        <w:szCs w:val="20"/>
      </w:rPr>
      <w:t xml:space="preserve"> C</w:t>
    </w:r>
    <w:r>
      <w:rPr>
        <w:rFonts w:cs="Arial"/>
        <w:i w:val="0"/>
        <w:sz w:val="20"/>
        <w:szCs w:val="20"/>
      </w:rPr>
      <w:t xml:space="preserve"> – Urban Design Guidelines compliance table - </w:t>
    </w:r>
    <w:r w:rsidRPr="00EB0406">
      <w:rPr>
        <w:rFonts w:cs="Arial"/>
        <w:i w:val="0"/>
        <w:sz w:val="20"/>
        <w:szCs w:val="20"/>
      </w:rPr>
      <w:t>Catherine Hill Bay Residential Subdivision        13 October 2021</w:t>
    </w:r>
    <w:r w:rsidRPr="00EB0406">
      <w:rPr>
        <w:rFonts w:cs="Arial"/>
        <w:i w:val="0"/>
        <w:sz w:val="20"/>
        <w:szCs w:val="20"/>
      </w:rPr>
      <w:tab/>
    </w:r>
    <w:r w:rsidR="002506B4">
      <w:rPr>
        <w:rFonts w:cs="Arial"/>
        <w:i w:val="0"/>
        <w:sz w:val="20"/>
        <w:szCs w:val="20"/>
      </w:rPr>
      <w:tab/>
    </w:r>
    <w:r w:rsidRPr="00EB0406">
      <w:rPr>
        <w:rFonts w:cs="Arial"/>
        <w:i w:val="0"/>
        <w:sz w:val="20"/>
        <w:szCs w:val="20"/>
      </w:rPr>
      <w:t xml:space="preserve">Page </w:t>
    </w:r>
    <w:sdt>
      <w:sdtPr>
        <w:rPr>
          <w:rFonts w:cs="Arial"/>
          <w:i w:val="0"/>
          <w:sz w:val="20"/>
          <w:szCs w:val="20"/>
        </w:rPr>
        <w:id w:val="377056804"/>
        <w:docPartObj>
          <w:docPartGallery w:val="Page Numbers (Bottom of Page)"/>
          <w:docPartUnique/>
        </w:docPartObj>
      </w:sdtPr>
      <w:sdtEndPr>
        <w:rPr>
          <w:noProof/>
        </w:rPr>
      </w:sdtEndPr>
      <w:sdtContent>
        <w:r w:rsidRPr="00EB0406">
          <w:rPr>
            <w:rFonts w:cs="Arial"/>
            <w:i w:val="0"/>
            <w:sz w:val="20"/>
            <w:szCs w:val="20"/>
          </w:rPr>
          <w:fldChar w:fldCharType="begin"/>
        </w:r>
        <w:r w:rsidRPr="00EB0406">
          <w:rPr>
            <w:rFonts w:cs="Arial"/>
            <w:i w:val="0"/>
            <w:sz w:val="20"/>
            <w:szCs w:val="20"/>
          </w:rPr>
          <w:instrText xml:space="preserve"> PAGE   \* MERGEFORMAT </w:instrText>
        </w:r>
        <w:r w:rsidRPr="00EB0406">
          <w:rPr>
            <w:rFonts w:cs="Arial"/>
            <w:i w:val="0"/>
            <w:sz w:val="20"/>
            <w:szCs w:val="20"/>
          </w:rPr>
          <w:fldChar w:fldCharType="separate"/>
        </w:r>
        <w:r>
          <w:rPr>
            <w:rFonts w:cs="Arial"/>
            <w:i w:val="0"/>
            <w:sz w:val="20"/>
            <w:szCs w:val="20"/>
          </w:rPr>
          <w:t>1</w:t>
        </w:r>
        <w:r w:rsidRPr="00EB0406">
          <w:rPr>
            <w:rFonts w:cs="Arial"/>
            <w:i w:val="0"/>
            <w:noProof/>
            <w:sz w:val="20"/>
            <w:szCs w:val="20"/>
          </w:rPr>
          <w:fldChar w:fldCharType="end"/>
        </w:r>
      </w:sdtContent>
    </w:sdt>
  </w:p>
  <w:p w:rsidR="00EB0406" w:rsidRPr="00EB0406" w:rsidRDefault="00EB0406" w:rsidP="00EB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406" w:rsidRPr="00EB0406" w:rsidRDefault="00EB0406" w:rsidP="00EB0406">
    <w:pPr>
      <w:pStyle w:val="Footer"/>
      <w:rPr>
        <w:rFonts w:cs="Arial"/>
        <w:i w:val="0"/>
        <w:sz w:val="20"/>
        <w:szCs w:val="20"/>
      </w:rPr>
    </w:pPr>
    <w:r w:rsidRPr="008D7040">
      <w:rPr>
        <w:rFonts w:cs="Arial"/>
        <w:i w:val="0"/>
        <w:sz w:val="20"/>
        <w:szCs w:val="20"/>
      </w:rPr>
      <w:t xml:space="preserve">Attachment </w:t>
    </w:r>
    <w:r w:rsidR="008D7040" w:rsidRPr="008D7040">
      <w:rPr>
        <w:rFonts w:cs="Arial"/>
        <w:i w:val="0"/>
        <w:sz w:val="20"/>
        <w:szCs w:val="20"/>
      </w:rPr>
      <w:t>C</w:t>
    </w:r>
    <w:r w:rsidRPr="008D7040">
      <w:rPr>
        <w:rFonts w:cs="Arial"/>
        <w:i w:val="0"/>
        <w:sz w:val="20"/>
        <w:szCs w:val="20"/>
      </w:rPr>
      <w:t xml:space="preserve"> – Urban Design Guidelines compliance table - Catherine Hill Bay Residential Subdivision        13 October 2021</w:t>
    </w:r>
    <w:r w:rsidRPr="008D7040">
      <w:rPr>
        <w:rFonts w:cs="Arial"/>
        <w:i w:val="0"/>
        <w:sz w:val="20"/>
        <w:szCs w:val="20"/>
      </w:rPr>
      <w:tab/>
    </w:r>
    <w:r w:rsidR="002506B4">
      <w:rPr>
        <w:rFonts w:cs="Arial"/>
        <w:i w:val="0"/>
        <w:sz w:val="20"/>
        <w:szCs w:val="20"/>
      </w:rPr>
      <w:tab/>
    </w:r>
    <w:r w:rsidRPr="008D7040">
      <w:rPr>
        <w:rFonts w:cs="Arial"/>
        <w:i w:val="0"/>
        <w:sz w:val="20"/>
        <w:szCs w:val="20"/>
      </w:rPr>
      <w:t xml:space="preserve">Page </w:t>
    </w:r>
    <w:sdt>
      <w:sdtPr>
        <w:rPr>
          <w:rFonts w:cs="Arial"/>
          <w:i w:val="0"/>
          <w:sz w:val="20"/>
          <w:szCs w:val="20"/>
        </w:rPr>
        <w:id w:val="1055119909"/>
        <w:docPartObj>
          <w:docPartGallery w:val="Page Numbers (Bottom of Page)"/>
          <w:docPartUnique/>
        </w:docPartObj>
      </w:sdtPr>
      <w:sdtEndPr>
        <w:rPr>
          <w:noProof/>
        </w:rPr>
      </w:sdtEndPr>
      <w:sdtContent>
        <w:r w:rsidRPr="008D7040">
          <w:rPr>
            <w:rFonts w:cs="Arial"/>
            <w:i w:val="0"/>
            <w:sz w:val="20"/>
            <w:szCs w:val="20"/>
          </w:rPr>
          <w:fldChar w:fldCharType="begin"/>
        </w:r>
        <w:r w:rsidRPr="008D7040">
          <w:rPr>
            <w:rFonts w:cs="Arial"/>
            <w:i w:val="0"/>
            <w:sz w:val="20"/>
            <w:szCs w:val="20"/>
          </w:rPr>
          <w:instrText xml:space="preserve"> PAGE   \* MERGEFORMAT </w:instrText>
        </w:r>
        <w:r w:rsidRPr="008D7040">
          <w:rPr>
            <w:rFonts w:cs="Arial"/>
            <w:i w:val="0"/>
            <w:sz w:val="20"/>
            <w:szCs w:val="20"/>
          </w:rPr>
          <w:fldChar w:fldCharType="separate"/>
        </w:r>
        <w:r w:rsidRPr="008D7040">
          <w:rPr>
            <w:rFonts w:cs="Arial"/>
            <w:i w:val="0"/>
            <w:sz w:val="20"/>
            <w:szCs w:val="20"/>
          </w:rPr>
          <w:t>3</w:t>
        </w:r>
        <w:r w:rsidRPr="008D7040">
          <w:rPr>
            <w:rFonts w:cs="Arial"/>
            <w:i w:val="0"/>
            <w:noProof/>
            <w:sz w:val="20"/>
            <w:szCs w:val="20"/>
          </w:rPr>
          <w:fldChar w:fldCharType="end"/>
        </w:r>
      </w:sdtContent>
    </w:sdt>
  </w:p>
  <w:p w:rsidR="00EB0406" w:rsidRDefault="00EB0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86A" w:rsidRDefault="0081386A" w:rsidP="00493096">
      <w:pPr>
        <w:spacing w:after="0"/>
      </w:pPr>
      <w:r>
        <w:separator/>
      </w:r>
    </w:p>
  </w:footnote>
  <w:footnote w:type="continuationSeparator" w:id="0">
    <w:p w:rsidR="0081386A" w:rsidRDefault="0081386A" w:rsidP="004930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09731F0E"/>
    <w:multiLevelType w:val="hybridMultilevel"/>
    <w:tmpl w:val="22F8F4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8C91E4D"/>
    <w:multiLevelType w:val="hybridMultilevel"/>
    <w:tmpl w:val="B0AAE66C"/>
    <w:lvl w:ilvl="0" w:tplc="23720D2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E74DD8"/>
    <w:multiLevelType w:val="hybridMultilevel"/>
    <w:tmpl w:val="5EBA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5663F2"/>
    <w:multiLevelType w:val="hybridMultilevel"/>
    <w:tmpl w:val="F5AC6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6A3094"/>
    <w:multiLevelType w:val="hybridMultilevel"/>
    <w:tmpl w:val="9102A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F28BC"/>
    <w:multiLevelType w:val="hybridMultilevel"/>
    <w:tmpl w:val="E1E0D4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CAF0DCB"/>
    <w:multiLevelType w:val="hybridMultilevel"/>
    <w:tmpl w:val="9AB6B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10"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66145B14"/>
    <w:multiLevelType w:val="hybridMultilevel"/>
    <w:tmpl w:val="BD18E3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0"/>
  </w:num>
  <w:num w:numId="6">
    <w:abstractNumId w:val="11"/>
  </w:num>
  <w:num w:numId="7">
    <w:abstractNumId w:val="10"/>
  </w:num>
  <w:num w:numId="8">
    <w:abstractNumId w:val="8"/>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0"/>
  </w:num>
  <w:num w:numId="22">
    <w:abstractNumId w:val="11"/>
  </w:num>
  <w:num w:numId="23">
    <w:abstractNumId w:val="10"/>
  </w:num>
  <w:num w:numId="24">
    <w:abstractNumId w:val="8"/>
  </w:num>
  <w:num w:numId="25">
    <w:abstractNumId w:val="9"/>
  </w:num>
  <w:num w:numId="26">
    <w:abstractNumId w:val="9"/>
  </w:num>
  <w:num w:numId="27">
    <w:abstractNumId w:val="9"/>
  </w:num>
  <w:num w:numId="28">
    <w:abstractNumId w:val="9"/>
  </w:num>
  <w:num w:numId="29">
    <w:abstractNumId w:val="0"/>
  </w:num>
  <w:num w:numId="30">
    <w:abstractNumId w:val="11"/>
  </w:num>
  <w:num w:numId="31">
    <w:abstractNumId w:val="10"/>
  </w:num>
  <w:num w:numId="32">
    <w:abstractNumId w:val="8"/>
  </w:num>
  <w:num w:numId="33">
    <w:abstractNumId w:val="12"/>
  </w:num>
  <w:num w:numId="34">
    <w:abstractNumId w:val="2"/>
  </w:num>
  <w:num w:numId="35">
    <w:abstractNumId w:val="6"/>
  </w:num>
  <w:num w:numId="36">
    <w:abstractNumId w:val="1"/>
  </w:num>
  <w:num w:numId="37">
    <w:abstractNumId w:val="4"/>
  </w:num>
  <w:num w:numId="38">
    <w:abstractNumId w:val="5"/>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wIDIDA1M7MwNLNU0lEKTi0uzszPAykwrQUAKE/F/iwAAAA="/>
    <w:docVar w:name="DocWithLetterhead" w:val="True"/>
  </w:docVars>
  <w:rsids>
    <w:rsidRoot w:val="00F72444"/>
    <w:rsid w:val="00042236"/>
    <w:rsid w:val="00055468"/>
    <w:rsid w:val="00057070"/>
    <w:rsid w:val="00057F1D"/>
    <w:rsid w:val="000D08A5"/>
    <w:rsid w:val="000D1CE9"/>
    <w:rsid w:val="000D34F7"/>
    <w:rsid w:val="000D7183"/>
    <w:rsid w:val="000E045F"/>
    <w:rsid w:val="000E0F23"/>
    <w:rsid w:val="000E477E"/>
    <w:rsid w:val="000E61BF"/>
    <w:rsid w:val="000F4CC6"/>
    <w:rsid w:val="00112123"/>
    <w:rsid w:val="001230B3"/>
    <w:rsid w:val="00132236"/>
    <w:rsid w:val="001333E6"/>
    <w:rsid w:val="0015675E"/>
    <w:rsid w:val="0016189F"/>
    <w:rsid w:val="00167169"/>
    <w:rsid w:val="001A16D5"/>
    <w:rsid w:val="001B4DAE"/>
    <w:rsid w:val="001C28AD"/>
    <w:rsid w:val="001C5115"/>
    <w:rsid w:val="001C66C5"/>
    <w:rsid w:val="001C7630"/>
    <w:rsid w:val="001E781B"/>
    <w:rsid w:val="00215A6F"/>
    <w:rsid w:val="002331EE"/>
    <w:rsid w:val="0024140F"/>
    <w:rsid w:val="00241430"/>
    <w:rsid w:val="00241A2A"/>
    <w:rsid w:val="002506B4"/>
    <w:rsid w:val="00255BA4"/>
    <w:rsid w:val="00264C91"/>
    <w:rsid w:val="00280BFF"/>
    <w:rsid w:val="002F55EA"/>
    <w:rsid w:val="002F72F0"/>
    <w:rsid w:val="0030179D"/>
    <w:rsid w:val="00312E01"/>
    <w:rsid w:val="00314C0B"/>
    <w:rsid w:val="0032666B"/>
    <w:rsid w:val="00336D9E"/>
    <w:rsid w:val="003409A9"/>
    <w:rsid w:val="003731A5"/>
    <w:rsid w:val="00376B2C"/>
    <w:rsid w:val="00380E6D"/>
    <w:rsid w:val="00385918"/>
    <w:rsid w:val="003907A7"/>
    <w:rsid w:val="003A16F2"/>
    <w:rsid w:val="003A5502"/>
    <w:rsid w:val="003C04E2"/>
    <w:rsid w:val="003C7115"/>
    <w:rsid w:val="003F1F9B"/>
    <w:rsid w:val="00401C25"/>
    <w:rsid w:val="00405607"/>
    <w:rsid w:val="004121B8"/>
    <w:rsid w:val="00416663"/>
    <w:rsid w:val="0047093E"/>
    <w:rsid w:val="00471CEA"/>
    <w:rsid w:val="0047210F"/>
    <w:rsid w:val="00483878"/>
    <w:rsid w:val="00491184"/>
    <w:rsid w:val="00493096"/>
    <w:rsid w:val="00493E71"/>
    <w:rsid w:val="004947B1"/>
    <w:rsid w:val="004A5AF1"/>
    <w:rsid w:val="004B407E"/>
    <w:rsid w:val="004C095E"/>
    <w:rsid w:val="004C4688"/>
    <w:rsid w:val="004D3970"/>
    <w:rsid w:val="004E302E"/>
    <w:rsid w:val="00501604"/>
    <w:rsid w:val="005059B2"/>
    <w:rsid w:val="005152BA"/>
    <w:rsid w:val="00566FB6"/>
    <w:rsid w:val="00572921"/>
    <w:rsid w:val="00587F92"/>
    <w:rsid w:val="005B0ADF"/>
    <w:rsid w:val="005C5DDE"/>
    <w:rsid w:val="006004DA"/>
    <w:rsid w:val="00612B19"/>
    <w:rsid w:val="00612B48"/>
    <w:rsid w:val="00637643"/>
    <w:rsid w:val="00661CF7"/>
    <w:rsid w:val="00687208"/>
    <w:rsid w:val="006968C1"/>
    <w:rsid w:val="006B16EF"/>
    <w:rsid w:val="006D7440"/>
    <w:rsid w:val="006E5492"/>
    <w:rsid w:val="006E6B61"/>
    <w:rsid w:val="006F627D"/>
    <w:rsid w:val="00703753"/>
    <w:rsid w:val="007226D1"/>
    <w:rsid w:val="0075215E"/>
    <w:rsid w:val="007667E7"/>
    <w:rsid w:val="00766848"/>
    <w:rsid w:val="00782256"/>
    <w:rsid w:val="007940E5"/>
    <w:rsid w:val="007B17FC"/>
    <w:rsid w:val="007B6EED"/>
    <w:rsid w:val="007D1926"/>
    <w:rsid w:val="007D3D38"/>
    <w:rsid w:val="007E5C31"/>
    <w:rsid w:val="007E7F47"/>
    <w:rsid w:val="0081386A"/>
    <w:rsid w:val="00857186"/>
    <w:rsid w:val="00870C38"/>
    <w:rsid w:val="00884891"/>
    <w:rsid w:val="008A48FD"/>
    <w:rsid w:val="008B2044"/>
    <w:rsid w:val="008B5891"/>
    <w:rsid w:val="008C44A0"/>
    <w:rsid w:val="008D7040"/>
    <w:rsid w:val="008F7C2A"/>
    <w:rsid w:val="009004F9"/>
    <w:rsid w:val="009047F6"/>
    <w:rsid w:val="00931A2D"/>
    <w:rsid w:val="0096760E"/>
    <w:rsid w:val="00976007"/>
    <w:rsid w:val="00987B30"/>
    <w:rsid w:val="009A6F2C"/>
    <w:rsid w:val="009C3D13"/>
    <w:rsid w:val="009D142B"/>
    <w:rsid w:val="009D1CCD"/>
    <w:rsid w:val="009E21BA"/>
    <w:rsid w:val="009F7C3A"/>
    <w:rsid w:val="00A270C3"/>
    <w:rsid w:val="00A50DB0"/>
    <w:rsid w:val="00A64771"/>
    <w:rsid w:val="00A650A1"/>
    <w:rsid w:val="00A719AF"/>
    <w:rsid w:val="00A87295"/>
    <w:rsid w:val="00A96FF7"/>
    <w:rsid w:val="00AA393B"/>
    <w:rsid w:val="00AB34C9"/>
    <w:rsid w:val="00AB36DB"/>
    <w:rsid w:val="00AC5E5A"/>
    <w:rsid w:val="00B112DD"/>
    <w:rsid w:val="00B33639"/>
    <w:rsid w:val="00B34819"/>
    <w:rsid w:val="00B7207F"/>
    <w:rsid w:val="00B82A1C"/>
    <w:rsid w:val="00BA49E2"/>
    <w:rsid w:val="00BB6A8F"/>
    <w:rsid w:val="00BD375F"/>
    <w:rsid w:val="00BD79DA"/>
    <w:rsid w:val="00BF2FF5"/>
    <w:rsid w:val="00BF3AC1"/>
    <w:rsid w:val="00C11F69"/>
    <w:rsid w:val="00C14974"/>
    <w:rsid w:val="00C20221"/>
    <w:rsid w:val="00C4314F"/>
    <w:rsid w:val="00C51B5E"/>
    <w:rsid w:val="00C52980"/>
    <w:rsid w:val="00C56868"/>
    <w:rsid w:val="00C63A2F"/>
    <w:rsid w:val="00C64F4A"/>
    <w:rsid w:val="00C674DB"/>
    <w:rsid w:val="00C76002"/>
    <w:rsid w:val="00C85BDE"/>
    <w:rsid w:val="00C9120D"/>
    <w:rsid w:val="00C94387"/>
    <w:rsid w:val="00C95593"/>
    <w:rsid w:val="00CA0B46"/>
    <w:rsid w:val="00CA4064"/>
    <w:rsid w:val="00CA6E7B"/>
    <w:rsid w:val="00CA76AB"/>
    <w:rsid w:val="00CC185C"/>
    <w:rsid w:val="00CF4F24"/>
    <w:rsid w:val="00D2587F"/>
    <w:rsid w:val="00D2589B"/>
    <w:rsid w:val="00D40483"/>
    <w:rsid w:val="00D507C0"/>
    <w:rsid w:val="00D56889"/>
    <w:rsid w:val="00D60853"/>
    <w:rsid w:val="00D61CD1"/>
    <w:rsid w:val="00D669B8"/>
    <w:rsid w:val="00D812FA"/>
    <w:rsid w:val="00D92B16"/>
    <w:rsid w:val="00DC04F3"/>
    <w:rsid w:val="00DD3B7A"/>
    <w:rsid w:val="00DE7880"/>
    <w:rsid w:val="00E0537D"/>
    <w:rsid w:val="00E219DB"/>
    <w:rsid w:val="00E221D4"/>
    <w:rsid w:val="00E23241"/>
    <w:rsid w:val="00E339A1"/>
    <w:rsid w:val="00E35140"/>
    <w:rsid w:val="00E43F12"/>
    <w:rsid w:val="00E50373"/>
    <w:rsid w:val="00E557A5"/>
    <w:rsid w:val="00E65CFD"/>
    <w:rsid w:val="00E710A9"/>
    <w:rsid w:val="00E740C1"/>
    <w:rsid w:val="00E820D7"/>
    <w:rsid w:val="00E860DF"/>
    <w:rsid w:val="00E9250E"/>
    <w:rsid w:val="00EA25B3"/>
    <w:rsid w:val="00EB0406"/>
    <w:rsid w:val="00ED230A"/>
    <w:rsid w:val="00ED4025"/>
    <w:rsid w:val="00EE5522"/>
    <w:rsid w:val="00EE5B32"/>
    <w:rsid w:val="00EE5DA3"/>
    <w:rsid w:val="00F130D5"/>
    <w:rsid w:val="00F13E1C"/>
    <w:rsid w:val="00F34A3C"/>
    <w:rsid w:val="00F4011E"/>
    <w:rsid w:val="00F66304"/>
    <w:rsid w:val="00F71799"/>
    <w:rsid w:val="00F72444"/>
    <w:rsid w:val="00F80E44"/>
    <w:rsid w:val="00F95692"/>
    <w:rsid w:val="00FA432E"/>
    <w:rsid w:val="00FC0427"/>
    <w:rsid w:val="00FC0826"/>
    <w:rsid w:val="00FC4A85"/>
    <w:rsid w:val="00FD5513"/>
    <w:rsid w:val="00FF71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05932"/>
  <w14:discardImageEditingData/>
  <w15:chartTrackingRefBased/>
  <w15:docId w15:val="{7BDB4A5F-5C93-498C-B3BF-FE900C09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13E1C"/>
    <w:pPr>
      <w:spacing w:after="160"/>
      <w:ind w:left="0" w:firstLine="0"/>
    </w:pPr>
    <w:rPr>
      <w:szCs w:val="24"/>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rPr>
      <w:szCs w:val="20"/>
    </w:r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szCs w:val="20"/>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rPr>
      <w:szCs w:val="20"/>
    </w:rPr>
  </w:style>
  <w:style w:type="paragraph" w:customStyle="1" w:styleId="CMTextR">
    <w:name w:val="CMTextR"/>
    <w:basedOn w:val="Normal"/>
    <w:rsid w:val="00DD3B7A"/>
    <w:pPr>
      <w:jc w:val="right"/>
    </w:pPr>
    <w:rPr>
      <w:szCs w:val="20"/>
    </w:r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uiPriority w:val="99"/>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szCs w:val="20"/>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28"/>
      </w:numPr>
      <w:spacing w:before="120" w:after="240"/>
    </w:pPr>
  </w:style>
  <w:style w:type="paragraph" w:customStyle="1" w:styleId="NoHeading2">
    <w:name w:val="No Heading 2"/>
    <w:basedOn w:val="Heading2"/>
    <w:next w:val="Normal"/>
    <w:qFormat/>
    <w:rsid w:val="00DD3B7A"/>
    <w:pPr>
      <w:numPr>
        <w:ilvl w:val="1"/>
        <w:numId w:val="28"/>
      </w:numPr>
    </w:pPr>
    <w:rPr>
      <w:szCs w:val="20"/>
    </w:rPr>
  </w:style>
  <w:style w:type="paragraph" w:customStyle="1" w:styleId="NoHeading3">
    <w:name w:val="No Heading 3"/>
    <w:basedOn w:val="Heading3"/>
    <w:next w:val="Normal"/>
    <w:qFormat/>
    <w:rsid w:val="00DD3B7A"/>
    <w:pPr>
      <w:numPr>
        <w:ilvl w:val="2"/>
        <w:numId w:val="28"/>
      </w:numPr>
    </w:pPr>
  </w:style>
  <w:style w:type="paragraph" w:customStyle="1" w:styleId="NoHeading4">
    <w:name w:val="No Heading 4"/>
    <w:basedOn w:val="Heading4"/>
    <w:next w:val="Normal"/>
    <w:qFormat/>
    <w:rsid w:val="00DD3B7A"/>
    <w:pPr>
      <w:numPr>
        <w:ilvl w:val="3"/>
        <w:numId w:val="28"/>
      </w:numPr>
    </w:pPr>
    <w:rPr>
      <w:szCs w:val="20"/>
    </w:r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szCs w:val="20"/>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9"/>
      </w:numPr>
    </w:pPr>
    <w:rPr>
      <w:rFonts w:ascii="Arial Bold" w:hAnsi="Arial Bold"/>
      <w:b/>
    </w:rPr>
  </w:style>
  <w:style w:type="paragraph" w:customStyle="1" w:styleId="PathwayCondNo">
    <w:name w:val="PathwayCondNo"/>
    <w:basedOn w:val="Normal"/>
    <w:next w:val="Normal"/>
    <w:rsid w:val="00DD3B7A"/>
    <w:pPr>
      <w:numPr>
        <w:numId w:val="30"/>
      </w:numPr>
    </w:pPr>
    <w:rPr>
      <w:rFonts w:cs="Arial"/>
      <w:b/>
    </w:rPr>
  </w:style>
  <w:style w:type="paragraph" w:customStyle="1" w:styleId="PathwayCondNo1">
    <w:name w:val="PathwayCondNo1"/>
    <w:basedOn w:val="PathwayCondNo"/>
    <w:next w:val="Normal"/>
    <w:rsid w:val="00DD3B7A"/>
    <w:pPr>
      <w:numPr>
        <w:numId w:val="31"/>
      </w:numPr>
    </w:pPr>
    <w:rPr>
      <w:b w:val="0"/>
    </w:rPr>
  </w:style>
  <w:style w:type="paragraph" w:customStyle="1" w:styleId="PathwayH1">
    <w:name w:val="PathwayH1"/>
    <w:basedOn w:val="Normal"/>
    <w:next w:val="Normal"/>
    <w:rsid w:val="00DD3B7A"/>
    <w:pPr>
      <w:spacing w:before="120"/>
      <w:jc w:val="center"/>
    </w:pPr>
    <w:rPr>
      <w:rFonts w:cs="Arial"/>
      <w:b/>
      <w:szCs w:val="20"/>
    </w:rPr>
  </w:style>
  <w:style w:type="paragraph" w:customStyle="1" w:styleId="PathwayH2">
    <w:name w:val="PathwayH2"/>
    <w:basedOn w:val="Normal"/>
    <w:next w:val="Normal"/>
    <w:rsid w:val="00DD3B7A"/>
    <w:pPr>
      <w:spacing w:before="60"/>
      <w:jc w:val="center"/>
    </w:pPr>
    <w:rPr>
      <w:rFonts w:cs="Arial"/>
      <w:b/>
      <w:szCs w:val="20"/>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32"/>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szCs w:val="20"/>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rPr>
      <w:szCs w:val="20"/>
    </w:r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rPr>
      <w:szCs w:val="22"/>
    </w:r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szCs w:val="20"/>
    </w:rPr>
  </w:style>
  <w:style w:type="paragraph" w:customStyle="1" w:styleId="SignatureE">
    <w:name w:val="SignatureE"/>
    <w:basedOn w:val="Normal"/>
    <w:rsid w:val="00F130D5"/>
    <w:pPr>
      <w:spacing w:before="360" w:after="0"/>
    </w:pPr>
  </w:style>
  <w:style w:type="paragraph" w:styleId="ListParagraph">
    <w:name w:val="List Paragraph"/>
    <w:basedOn w:val="Normal"/>
    <w:uiPriority w:val="34"/>
    <w:rsid w:val="004C4688"/>
    <w:pPr>
      <w:spacing w:after="60"/>
      <w:ind w:left="851" w:hanging="284"/>
      <w:contextualSpacing/>
    </w:pPr>
  </w:style>
  <w:style w:type="character" w:customStyle="1" w:styleId="FooterChar">
    <w:name w:val="Footer Char"/>
    <w:basedOn w:val="DefaultParagraphFont"/>
    <w:link w:val="Footer"/>
    <w:uiPriority w:val="99"/>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szCs w:val="22"/>
    </w:rPr>
  </w:style>
  <w:style w:type="paragraph" w:customStyle="1" w:styleId="FooterEl8">
    <w:name w:val="FooterEl8"/>
    <w:basedOn w:val="Normal"/>
    <w:rsid w:val="008B2044"/>
    <w:pPr>
      <w:spacing w:before="20" w:after="0"/>
    </w:pPr>
    <w:rPr>
      <w:sz w:val="18"/>
      <w:szCs w:val="22"/>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4709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5</Pages>
  <Words>1066</Words>
  <Characters>5896</Characters>
  <Application>Microsoft Office Word</Application>
  <DocSecurity>0</DocSecurity>
  <Lines>203</Lines>
  <Paragraphs>102</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Pavitt</dc:creator>
  <cp:keywords/>
  <dc:description/>
  <cp:lastModifiedBy>Amy Regado</cp:lastModifiedBy>
  <cp:revision>29</cp:revision>
  <cp:lastPrinted>2020-01-17T05:21:00Z</cp:lastPrinted>
  <dcterms:created xsi:type="dcterms:W3CDTF">2021-10-02T23:17:00Z</dcterms:created>
  <dcterms:modified xsi:type="dcterms:W3CDTF">2021-10-05T18:07:00Z</dcterms:modified>
</cp:coreProperties>
</file>